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AF9" w:rsidRPr="00F91D56" w:rsidRDefault="005B4AA9" w:rsidP="009E26A0">
      <w:pPr>
        <w:pStyle w:val="Title"/>
        <w:jc w:val="center"/>
      </w:pPr>
      <w:bookmarkStart w:id="0" w:name="_GoBack"/>
      <w:bookmarkEnd w:id="0"/>
      <w:r>
        <w:t>Guidelines for Potentially Explosive Experiments</w:t>
      </w:r>
    </w:p>
    <w:p w:rsidR="00AE530E" w:rsidRPr="004A2271" w:rsidRDefault="00AE530E" w:rsidP="004A2271">
      <w:pPr>
        <w:spacing w:after="0" w:line="240" w:lineRule="auto"/>
        <w:rPr>
          <w:rFonts w:eastAsiaTheme="majorEastAsia" w:cstheme="majorBidi"/>
          <w:b/>
          <w:bCs/>
          <w:color w:val="000000" w:themeColor="text1"/>
          <w:spacing w:val="5"/>
          <w:kern w:val="28"/>
          <w:sz w:val="28"/>
          <w:szCs w:val="28"/>
        </w:rPr>
      </w:pPr>
      <w:r w:rsidRPr="00AE530E">
        <w:rPr>
          <w:rFonts w:cs="Times New Roman"/>
          <w:sz w:val="24"/>
          <w:szCs w:val="24"/>
        </w:rPr>
        <w:t>Some chemical compounds can be highly energetic/explosive, thus presenting significant hazards. Some classes of compounds can be sensitive and decompose into a violent release of energy and gas with the slightest input of energy (heat, light, friction, shock). Ask the following questions to determine if your experiment is potentially explosive.</w:t>
      </w:r>
    </w:p>
    <w:p w:rsidR="00AE530E" w:rsidRPr="004A2271" w:rsidRDefault="00651A75" w:rsidP="00AE530E">
      <w:pPr>
        <w:pStyle w:val="Heading2"/>
        <w:rPr>
          <w:rFonts w:asciiTheme="majorHAnsi" w:hAnsiTheme="majorHAnsi"/>
          <w:color w:val="000000" w:themeColor="text1"/>
          <w:sz w:val="28"/>
          <w:szCs w:val="28"/>
        </w:rPr>
      </w:pPr>
      <w:r>
        <w:rPr>
          <w:rFonts w:asciiTheme="majorHAnsi" w:hAnsiTheme="majorHAnsi"/>
          <w:color w:val="000000" w:themeColor="text1"/>
          <w:sz w:val="28"/>
          <w:szCs w:val="28"/>
        </w:rPr>
        <w:t>Are hazardous</w:t>
      </w:r>
      <w:r w:rsidR="00AE530E" w:rsidRPr="004A2271">
        <w:rPr>
          <w:rFonts w:asciiTheme="majorHAnsi" w:hAnsiTheme="majorHAnsi"/>
          <w:color w:val="000000" w:themeColor="text1"/>
          <w:sz w:val="28"/>
          <w:szCs w:val="28"/>
        </w:rPr>
        <w:t xml:space="preserve"> bonds present?</w:t>
      </w:r>
    </w:p>
    <w:p w:rsidR="004A2271" w:rsidRDefault="00AE530E" w:rsidP="004A2271">
      <w:pPr>
        <w:spacing w:after="0" w:line="240" w:lineRule="auto"/>
        <w:jc w:val="both"/>
        <w:rPr>
          <w:rFonts w:cs="Times New Roman"/>
          <w:sz w:val="24"/>
          <w:szCs w:val="24"/>
        </w:rPr>
      </w:pPr>
      <w:r w:rsidRPr="00AE530E">
        <w:rPr>
          <w:rFonts w:cs="Times New Roman"/>
          <w:sz w:val="24"/>
          <w:szCs w:val="24"/>
        </w:rPr>
        <w:t>Certain chemical bonds can be inherently energetic and/or unstable. Check if your experiment involves any compounds that contain one of the signature bonds shown below. Consider intermediate and side products that may form during the reaction:</w:t>
      </w:r>
    </w:p>
    <w:p w:rsidR="004A2271" w:rsidRDefault="004A2271" w:rsidP="004A2271">
      <w:pPr>
        <w:spacing w:after="0" w:line="240" w:lineRule="auto"/>
        <w:jc w:val="both"/>
        <w:rPr>
          <w:rFonts w:cs="Times New Roman"/>
          <w:sz w:val="24"/>
          <w:szCs w:val="24"/>
        </w:rPr>
      </w:pPr>
    </w:p>
    <w:p w:rsidR="004A2271" w:rsidRDefault="004A2271" w:rsidP="004A2271">
      <w:pPr>
        <w:spacing w:after="0" w:line="240" w:lineRule="auto"/>
        <w:jc w:val="both"/>
        <w:rPr>
          <w:rFonts w:cs="Times New Roman"/>
          <w:sz w:val="24"/>
          <w:szCs w:val="24"/>
        </w:rPr>
      </w:pPr>
      <w:r w:rsidRPr="00AE530E">
        <w:rPr>
          <w:sz w:val="24"/>
          <w:szCs w:val="24"/>
        </w:rPr>
        <w:object w:dxaOrig="13690" w:dyaOrig="8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92.5pt" o:ole="">
            <v:imagedata r:id="rId12" o:title="" gain="62915f"/>
          </v:shape>
          <o:OLEObject Type="Embed" ProgID="ChemDraw.Document.6.0" ShapeID="_x0000_i1025" DrawAspect="Content" ObjectID="_1686990987" r:id="rId13"/>
        </w:object>
      </w:r>
    </w:p>
    <w:p w:rsidR="004A2271" w:rsidRDefault="004A2271" w:rsidP="004A2271">
      <w:pPr>
        <w:spacing w:after="0" w:line="240" w:lineRule="auto"/>
        <w:jc w:val="both"/>
        <w:rPr>
          <w:rFonts w:cs="Times New Roman"/>
          <w:sz w:val="24"/>
          <w:szCs w:val="24"/>
        </w:rPr>
      </w:pPr>
    </w:p>
    <w:p w:rsidR="00AE530E" w:rsidRPr="00AE530E" w:rsidRDefault="00AE530E" w:rsidP="004A2271">
      <w:pPr>
        <w:spacing w:after="0" w:line="240" w:lineRule="auto"/>
        <w:jc w:val="both"/>
        <w:rPr>
          <w:rFonts w:cs="Times New Roman"/>
          <w:sz w:val="24"/>
          <w:szCs w:val="24"/>
        </w:rPr>
      </w:pPr>
      <w:r w:rsidRPr="00AE530E">
        <w:rPr>
          <w:sz w:val="24"/>
          <w:szCs w:val="24"/>
        </w:rPr>
        <w:object w:dxaOrig="13267" w:dyaOrig="8774">
          <v:shape id="_x0000_i1026" type="#_x0000_t75" style="width:468pt;height:309pt" o:ole="">
            <v:imagedata r:id="rId14" o:title=""/>
          </v:shape>
          <o:OLEObject Type="Embed" ProgID="ChemDraw.Document.6.0" ShapeID="_x0000_i1026" DrawAspect="Content" ObjectID="_1686990988" r:id="rId15"/>
        </w:object>
      </w:r>
    </w:p>
    <w:p w:rsidR="00AE530E" w:rsidRPr="004A2271" w:rsidRDefault="00AE530E" w:rsidP="00AE530E">
      <w:pPr>
        <w:pStyle w:val="Heading2"/>
        <w:rPr>
          <w:rFonts w:asciiTheme="majorHAnsi" w:hAnsiTheme="majorHAnsi"/>
          <w:color w:val="000000" w:themeColor="text1"/>
          <w:sz w:val="28"/>
          <w:szCs w:val="28"/>
        </w:rPr>
      </w:pPr>
      <w:r w:rsidRPr="004A2271">
        <w:rPr>
          <w:rFonts w:asciiTheme="majorHAnsi" w:hAnsiTheme="majorHAnsi"/>
          <w:color w:val="000000" w:themeColor="text1"/>
          <w:sz w:val="28"/>
          <w:szCs w:val="28"/>
        </w:rPr>
        <w:t>Do all compounds obey the “Rule of Six”?</w:t>
      </w:r>
    </w:p>
    <w:p w:rsidR="004A2271" w:rsidRPr="00AE530E" w:rsidRDefault="00AE530E" w:rsidP="004A2271">
      <w:pPr>
        <w:spacing w:after="120" w:line="240" w:lineRule="auto"/>
        <w:jc w:val="both"/>
        <w:rPr>
          <w:rFonts w:cs="Times New Roman"/>
          <w:sz w:val="24"/>
          <w:szCs w:val="24"/>
        </w:rPr>
      </w:pPr>
      <w:r w:rsidRPr="00AE530E">
        <w:rPr>
          <w:rFonts w:cs="Times New Roman"/>
          <w:sz w:val="24"/>
          <w:szCs w:val="24"/>
        </w:rPr>
        <w:t>The “Rule of Six” dictates that six carbon atoms (or other atoms of similar size) per energetic functional group in a molecule should provide enough dilution stability to render the compound safe.</w:t>
      </w:r>
    </w:p>
    <w:p w:rsidR="00AE530E" w:rsidRPr="00AE530E" w:rsidRDefault="00AE530E" w:rsidP="00AE530E">
      <w:pPr>
        <w:spacing w:after="0" w:line="240" w:lineRule="auto"/>
        <w:jc w:val="both"/>
        <w:rPr>
          <w:rFonts w:cs="Times New Roman"/>
          <w:sz w:val="24"/>
          <w:szCs w:val="24"/>
        </w:rPr>
      </w:pPr>
      <w:r w:rsidRPr="00AE530E">
        <w:rPr>
          <w:rFonts w:cs="Times New Roman"/>
          <w:sz w:val="24"/>
          <w:szCs w:val="24"/>
        </w:rPr>
        <w:t>If any compound in your experiment contain</w:t>
      </w:r>
      <w:r w:rsidR="004A2271">
        <w:rPr>
          <w:rFonts w:cs="Times New Roman"/>
          <w:sz w:val="24"/>
          <w:szCs w:val="24"/>
        </w:rPr>
        <w:t>s</w:t>
      </w:r>
      <w:r w:rsidRPr="00AE530E">
        <w:rPr>
          <w:rFonts w:cs="Times New Roman"/>
          <w:sz w:val="24"/>
          <w:szCs w:val="24"/>
        </w:rPr>
        <w:t xml:space="preserve"> a hazardous bond and does NOT obey the “Rule of Six,” it may be explosive. Follow the safety recommendations outlined below:</w:t>
      </w:r>
    </w:p>
    <w:p w:rsidR="00AE530E" w:rsidRPr="004A2271" w:rsidRDefault="00AE530E" w:rsidP="00AE530E">
      <w:pPr>
        <w:pStyle w:val="Heading2"/>
        <w:rPr>
          <w:rFonts w:asciiTheme="majorHAnsi" w:hAnsiTheme="majorHAnsi"/>
          <w:sz w:val="28"/>
          <w:szCs w:val="28"/>
        </w:rPr>
      </w:pPr>
      <w:r w:rsidRPr="004A2271">
        <w:rPr>
          <w:rFonts w:asciiTheme="majorHAnsi" w:hAnsiTheme="majorHAnsi"/>
          <w:color w:val="000000" w:themeColor="text1"/>
          <w:sz w:val="28"/>
          <w:szCs w:val="28"/>
        </w:rPr>
        <w:t>Is there an alternate compound or route to produce the same end result?</w:t>
      </w:r>
    </w:p>
    <w:p w:rsidR="00AE530E" w:rsidRPr="00AE530E" w:rsidRDefault="00AE530E" w:rsidP="00AE530E">
      <w:pPr>
        <w:spacing w:after="120" w:line="240" w:lineRule="auto"/>
        <w:jc w:val="both"/>
        <w:rPr>
          <w:rFonts w:cs="Times New Roman"/>
          <w:sz w:val="24"/>
          <w:szCs w:val="24"/>
        </w:rPr>
      </w:pPr>
      <w:r w:rsidRPr="00AE530E">
        <w:rPr>
          <w:rFonts w:cs="Times New Roman"/>
          <w:sz w:val="24"/>
          <w:szCs w:val="24"/>
        </w:rPr>
        <w:t>Consider using alternate compounds or a different route that leads to the same destination.</w:t>
      </w:r>
    </w:p>
    <w:p w:rsidR="00AE530E" w:rsidRPr="00AE530E" w:rsidRDefault="00AE530E" w:rsidP="00AE530E">
      <w:pPr>
        <w:spacing w:after="120" w:line="240" w:lineRule="auto"/>
        <w:jc w:val="both"/>
        <w:rPr>
          <w:rFonts w:cs="Times New Roman"/>
          <w:sz w:val="24"/>
          <w:szCs w:val="24"/>
        </w:rPr>
      </w:pPr>
      <w:r w:rsidRPr="00AE530E">
        <w:rPr>
          <w:rFonts w:cs="Times New Roman"/>
          <w:sz w:val="24"/>
          <w:szCs w:val="24"/>
        </w:rPr>
        <w:t>For example, a distillation of diazomethane can be risky due to its explosive tendencies in bright light or when exposed to sharp/rough edges and scratched glassware. It is also highly toxic. Trimethylsilyldiazomethane (CAS 18107-18-1) is a convenient and safer substitute.</w:t>
      </w:r>
    </w:p>
    <w:p w:rsidR="00AE530E" w:rsidRDefault="00AE530E" w:rsidP="00AE530E">
      <w:pPr>
        <w:spacing w:after="120" w:line="240" w:lineRule="auto"/>
        <w:jc w:val="both"/>
        <w:rPr>
          <w:rFonts w:cs="Times New Roman"/>
          <w:sz w:val="24"/>
          <w:szCs w:val="24"/>
        </w:rPr>
      </w:pPr>
      <w:r w:rsidRPr="00AE530E">
        <w:rPr>
          <w:rFonts w:cs="Times New Roman"/>
          <w:sz w:val="24"/>
          <w:szCs w:val="24"/>
        </w:rPr>
        <w:t xml:space="preserve">In the example below, the synthetic route shown at the top forms a highly explosive organic </w:t>
      </w:r>
      <w:proofErr w:type="spellStart"/>
      <w:r w:rsidRPr="00AE530E">
        <w:rPr>
          <w:rFonts w:cs="Times New Roman"/>
          <w:sz w:val="24"/>
          <w:szCs w:val="24"/>
        </w:rPr>
        <w:t>azide</w:t>
      </w:r>
      <w:proofErr w:type="spellEnd"/>
      <w:r w:rsidRPr="00AE530E">
        <w:rPr>
          <w:rFonts w:cs="Times New Roman"/>
          <w:sz w:val="24"/>
          <w:szCs w:val="24"/>
        </w:rPr>
        <w:t xml:space="preserve"> as an intermediate, making the experiment dangerous. The second route at the bottom proceeds through a </w:t>
      </w:r>
      <w:proofErr w:type="spellStart"/>
      <w:r w:rsidRPr="00AE530E">
        <w:rPr>
          <w:rFonts w:cs="Times New Roman"/>
          <w:sz w:val="24"/>
          <w:szCs w:val="24"/>
        </w:rPr>
        <w:t>mesylate</w:t>
      </w:r>
      <w:proofErr w:type="spellEnd"/>
      <w:r w:rsidRPr="00AE530E">
        <w:rPr>
          <w:rFonts w:cs="Times New Roman"/>
          <w:sz w:val="24"/>
          <w:szCs w:val="24"/>
        </w:rPr>
        <w:t xml:space="preserve">, which has no explosive properties. </w:t>
      </w:r>
    </w:p>
    <w:p w:rsidR="00AE530E" w:rsidRPr="00AE530E" w:rsidRDefault="00AE530E" w:rsidP="00AE530E">
      <w:pPr>
        <w:spacing w:after="120" w:line="240" w:lineRule="auto"/>
        <w:jc w:val="both"/>
        <w:rPr>
          <w:rFonts w:cs="Times New Roman"/>
          <w:sz w:val="24"/>
          <w:szCs w:val="24"/>
        </w:rPr>
      </w:pPr>
    </w:p>
    <w:p w:rsidR="00AE530E" w:rsidRPr="00FD524E" w:rsidRDefault="00AE530E" w:rsidP="00AE530E">
      <w:pPr>
        <w:spacing w:after="0" w:line="240" w:lineRule="auto"/>
        <w:jc w:val="center"/>
        <w:rPr>
          <w:rFonts w:ascii="Verdana" w:hAnsi="Verdana" w:cs="Times New Roman"/>
          <w:sz w:val="24"/>
          <w:szCs w:val="24"/>
        </w:rPr>
      </w:pPr>
      <w:r w:rsidRPr="00FD524E">
        <w:rPr>
          <w:rFonts w:ascii="Verdana" w:hAnsi="Verdana"/>
        </w:rPr>
        <w:object w:dxaOrig="11395" w:dyaOrig="4058">
          <v:shape id="_x0000_i1027" type="#_x0000_t75" style="width:421.5pt;height:149.25pt" o:ole="">
            <v:imagedata r:id="rId16" o:title=""/>
          </v:shape>
          <o:OLEObject Type="Embed" ProgID="ChemDraw.Document.6.0" ShapeID="_x0000_i1027" DrawAspect="Content" ObjectID="_1686990989" r:id="rId17"/>
        </w:object>
      </w:r>
    </w:p>
    <w:p w:rsidR="00AE530E" w:rsidRPr="00FD524E" w:rsidRDefault="00AE530E" w:rsidP="00AE530E">
      <w:pPr>
        <w:autoSpaceDE w:val="0"/>
        <w:autoSpaceDN w:val="0"/>
        <w:adjustRightInd w:val="0"/>
        <w:spacing w:after="0" w:line="240" w:lineRule="auto"/>
        <w:rPr>
          <w:rFonts w:ascii="Verdana" w:hAnsi="Verdana" w:cs="Times New Roman"/>
          <w:sz w:val="24"/>
          <w:szCs w:val="24"/>
        </w:rPr>
      </w:pPr>
    </w:p>
    <w:p w:rsidR="00AE530E" w:rsidRDefault="00AE530E" w:rsidP="00AE530E">
      <w:pPr>
        <w:pStyle w:val="Heading2"/>
        <w:jc w:val="both"/>
        <w:rPr>
          <w:rFonts w:asciiTheme="majorHAnsi" w:hAnsiTheme="majorHAnsi"/>
          <w:b w:val="0"/>
          <w:color w:val="000000" w:themeColor="text1"/>
        </w:rPr>
      </w:pPr>
      <w:r w:rsidRPr="00AE530E">
        <w:rPr>
          <w:rFonts w:asciiTheme="majorHAnsi" w:hAnsiTheme="majorHAnsi"/>
          <w:b w:val="0"/>
          <w:color w:val="000000" w:themeColor="text1"/>
        </w:rPr>
        <w:t xml:space="preserve">If no alternative compounds or routes are available, and you have to run an experiment that involves a potentially explosive compound, make sure you fully understand the risks and how to control them before proceeding. </w:t>
      </w:r>
    </w:p>
    <w:p w:rsidR="004A2271" w:rsidRPr="004A2271" w:rsidRDefault="004A2271" w:rsidP="004A2271">
      <w:pPr>
        <w:pStyle w:val="Heading2"/>
        <w:rPr>
          <w:rFonts w:asciiTheme="majorHAnsi" w:hAnsiTheme="majorHAnsi"/>
          <w:color w:val="000000" w:themeColor="text1"/>
          <w:sz w:val="28"/>
          <w:szCs w:val="28"/>
        </w:rPr>
      </w:pPr>
      <w:r w:rsidRPr="00D3128D">
        <w:rPr>
          <w:rFonts w:asciiTheme="majorHAnsi" w:hAnsiTheme="majorHAnsi"/>
          <w:color w:val="000000" w:themeColor="text1"/>
          <w:sz w:val="28"/>
          <w:szCs w:val="28"/>
        </w:rPr>
        <w:t>Oxygen balance</w:t>
      </w:r>
    </w:p>
    <w:p w:rsidR="007B3568" w:rsidRDefault="003462BF" w:rsidP="004A2271">
      <w:pPr>
        <w:spacing w:after="120" w:line="240" w:lineRule="auto"/>
        <w:jc w:val="both"/>
        <w:rPr>
          <w:rFonts w:cs="Times New Roman"/>
          <w:sz w:val="24"/>
          <w:szCs w:val="24"/>
        </w:rPr>
      </w:pPr>
      <w:r>
        <w:rPr>
          <w:rFonts w:cs="Times New Roman"/>
          <w:sz w:val="24"/>
          <w:szCs w:val="24"/>
        </w:rPr>
        <w:t>Oxygen balance is a term to express the degree to which an explosive can be fully oxidized and/or consumed and is usually denoted in negative (not having enough oxygen in the explosive molecule) or positive (having too much oxygen in the explosive molecule) terms. Explosive molecules with zero oxygen balance have the perfect balance of oxygen in the explosive.</w:t>
      </w:r>
      <w:r w:rsidR="00AB4DEA">
        <w:rPr>
          <w:rFonts w:cs="Times New Roman"/>
          <w:sz w:val="24"/>
          <w:szCs w:val="24"/>
        </w:rPr>
        <w:t xml:space="preserve"> </w:t>
      </w:r>
      <w:r w:rsidR="00AB4DEA" w:rsidRPr="00D3128D">
        <w:rPr>
          <w:rFonts w:cs="Times New Roman"/>
          <w:sz w:val="24"/>
          <w:szCs w:val="24"/>
          <w:u w:val="single"/>
        </w:rPr>
        <w:t>Explosives near z</w:t>
      </w:r>
      <w:r w:rsidR="00D3128D">
        <w:rPr>
          <w:rFonts w:cs="Times New Roman"/>
          <w:sz w:val="24"/>
          <w:szCs w:val="24"/>
          <w:u w:val="single"/>
        </w:rPr>
        <w:t xml:space="preserve">ero oxygen balance </w:t>
      </w:r>
      <w:r w:rsidR="00AB4DEA" w:rsidRPr="00D3128D">
        <w:rPr>
          <w:rFonts w:cs="Times New Roman"/>
          <w:sz w:val="24"/>
          <w:szCs w:val="24"/>
          <w:u w:val="single"/>
        </w:rPr>
        <w:t>tend to be the most powerful</w:t>
      </w:r>
      <w:r w:rsidR="00D3128D">
        <w:rPr>
          <w:rFonts w:cs="Times New Roman"/>
          <w:sz w:val="24"/>
          <w:szCs w:val="24"/>
          <w:u w:val="single"/>
        </w:rPr>
        <w:t xml:space="preserve"> explosives</w:t>
      </w:r>
      <w:r w:rsidR="00AB4DEA" w:rsidRPr="00D3128D">
        <w:rPr>
          <w:rFonts w:cs="Times New Roman"/>
          <w:sz w:val="24"/>
          <w:szCs w:val="24"/>
          <w:u w:val="single"/>
        </w:rPr>
        <w:t>.</w:t>
      </w:r>
      <w:r>
        <w:rPr>
          <w:rFonts w:cs="Times New Roman"/>
          <w:sz w:val="24"/>
          <w:szCs w:val="24"/>
        </w:rPr>
        <w:t xml:space="preserve"> </w:t>
      </w:r>
    </w:p>
    <w:p w:rsidR="0073036E" w:rsidRDefault="0073036E" w:rsidP="004A2271">
      <w:pPr>
        <w:spacing w:after="120" w:line="240" w:lineRule="auto"/>
        <w:jc w:val="both"/>
        <w:rPr>
          <w:rFonts w:cs="Times New Roman"/>
          <w:sz w:val="24"/>
          <w:szCs w:val="24"/>
        </w:rPr>
      </w:pPr>
    </w:p>
    <w:p w:rsidR="007B3568" w:rsidRDefault="00924DD7" w:rsidP="0073036E">
      <w:pPr>
        <w:spacing w:after="120" w:line="240" w:lineRule="auto"/>
        <w:jc w:val="center"/>
        <w:rPr>
          <w:rFonts w:cs="Times New Roman"/>
          <w:sz w:val="24"/>
          <w:szCs w:val="24"/>
        </w:rPr>
      </w:pPr>
      <w:r>
        <w:rPr>
          <w:rFonts w:cs="Times New Roman"/>
          <w:sz w:val="24"/>
          <w:szCs w:val="24"/>
        </w:rPr>
        <w:t xml:space="preserve">Positive oxygen balance example: Glycerin </w:t>
      </w:r>
      <w:proofErr w:type="spellStart"/>
      <w:r>
        <w:rPr>
          <w:rFonts w:cs="Times New Roman"/>
          <w:sz w:val="24"/>
          <w:szCs w:val="24"/>
        </w:rPr>
        <w:t>trinitrate</w:t>
      </w:r>
      <w:proofErr w:type="spellEnd"/>
      <w:r>
        <w:rPr>
          <w:rFonts w:cs="Times New Roman"/>
          <w:sz w:val="24"/>
          <w:szCs w:val="24"/>
        </w:rPr>
        <w:t xml:space="preserve"> (aka nitroglycerin)</w:t>
      </w:r>
    </w:p>
    <w:p w:rsidR="00924DD7" w:rsidRDefault="00924DD7" w:rsidP="0073036E">
      <w:pPr>
        <w:spacing w:after="120" w:line="240" w:lineRule="auto"/>
        <w:jc w:val="center"/>
        <w:rPr>
          <w:rFonts w:cs="Times New Roman"/>
          <w:sz w:val="24"/>
          <w:szCs w:val="24"/>
        </w:rPr>
      </w:pPr>
      <w:r>
        <w:rPr>
          <w:rFonts w:cs="Times New Roman"/>
          <w:sz w:val="24"/>
          <w:szCs w:val="24"/>
        </w:rPr>
        <w:t>4C</w:t>
      </w:r>
      <w:r w:rsidRPr="00924DD7">
        <w:rPr>
          <w:rFonts w:cs="Times New Roman"/>
          <w:sz w:val="24"/>
          <w:szCs w:val="24"/>
          <w:vertAlign w:val="subscript"/>
        </w:rPr>
        <w:t>3</w:t>
      </w:r>
      <w:r>
        <w:rPr>
          <w:rFonts w:cs="Times New Roman"/>
          <w:sz w:val="24"/>
          <w:szCs w:val="24"/>
        </w:rPr>
        <w:t>H</w:t>
      </w:r>
      <w:r w:rsidRPr="00924DD7">
        <w:rPr>
          <w:rFonts w:cs="Times New Roman"/>
          <w:sz w:val="24"/>
          <w:szCs w:val="24"/>
          <w:vertAlign w:val="subscript"/>
        </w:rPr>
        <w:t>5</w:t>
      </w:r>
      <w:r>
        <w:rPr>
          <w:rFonts w:cs="Times New Roman"/>
          <w:sz w:val="24"/>
          <w:szCs w:val="24"/>
        </w:rPr>
        <w:t>N</w:t>
      </w:r>
      <w:r w:rsidRPr="00924DD7">
        <w:rPr>
          <w:rFonts w:cs="Times New Roman"/>
          <w:sz w:val="24"/>
          <w:szCs w:val="24"/>
          <w:vertAlign w:val="subscript"/>
        </w:rPr>
        <w:t>3</w:t>
      </w:r>
      <w:r>
        <w:rPr>
          <w:rFonts w:cs="Times New Roman"/>
          <w:sz w:val="24"/>
          <w:szCs w:val="24"/>
        </w:rPr>
        <w:t>O</w:t>
      </w:r>
      <w:r w:rsidRPr="00924DD7">
        <w:rPr>
          <w:rFonts w:cs="Times New Roman"/>
          <w:sz w:val="24"/>
          <w:szCs w:val="24"/>
          <w:vertAlign w:val="subscript"/>
        </w:rPr>
        <w:t>9</w:t>
      </w:r>
      <w:r>
        <w:rPr>
          <w:rFonts w:cs="Times New Roman"/>
          <w:sz w:val="24"/>
          <w:szCs w:val="24"/>
        </w:rPr>
        <w:t xml:space="preserve"> → </w:t>
      </w:r>
      <w:proofErr w:type="gramStart"/>
      <w:r>
        <w:rPr>
          <w:rFonts w:cs="Times New Roman"/>
          <w:sz w:val="24"/>
          <w:szCs w:val="24"/>
        </w:rPr>
        <w:t>6N</w:t>
      </w:r>
      <w:r w:rsidRPr="00924DD7">
        <w:rPr>
          <w:rFonts w:cs="Times New Roman"/>
          <w:sz w:val="24"/>
          <w:szCs w:val="24"/>
          <w:vertAlign w:val="subscript"/>
        </w:rPr>
        <w:t>2</w:t>
      </w:r>
      <w:r>
        <w:rPr>
          <w:rFonts w:cs="Times New Roman"/>
          <w:sz w:val="24"/>
          <w:szCs w:val="24"/>
        </w:rPr>
        <w:t>(</w:t>
      </w:r>
      <w:proofErr w:type="gramEnd"/>
      <w:r w:rsidRPr="00924DD7">
        <w:rPr>
          <w:rFonts w:cs="Times New Roman"/>
          <w:i/>
          <w:iCs/>
          <w:sz w:val="24"/>
          <w:szCs w:val="24"/>
        </w:rPr>
        <w:t>g</w:t>
      </w:r>
      <w:r>
        <w:rPr>
          <w:rFonts w:cs="Times New Roman"/>
          <w:sz w:val="24"/>
          <w:szCs w:val="24"/>
        </w:rPr>
        <w:t>) + 12CO</w:t>
      </w:r>
      <w:r w:rsidRPr="00924DD7">
        <w:rPr>
          <w:rFonts w:cs="Times New Roman"/>
          <w:sz w:val="24"/>
          <w:szCs w:val="24"/>
          <w:vertAlign w:val="subscript"/>
        </w:rPr>
        <w:t>2</w:t>
      </w:r>
      <w:r>
        <w:rPr>
          <w:rFonts w:cs="Times New Roman"/>
          <w:sz w:val="24"/>
          <w:szCs w:val="24"/>
        </w:rPr>
        <w:t>(</w:t>
      </w:r>
      <w:r w:rsidRPr="00924DD7">
        <w:rPr>
          <w:rFonts w:cs="Times New Roman"/>
          <w:i/>
          <w:iCs/>
          <w:sz w:val="24"/>
          <w:szCs w:val="24"/>
        </w:rPr>
        <w:t>g</w:t>
      </w:r>
      <w:r>
        <w:rPr>
          <w:rFonts w:cs="Times New Roman"/>
          <w:sz w:val="24"/>
          <w:szCs w:val="24"/>
        </w:rPr>
        <w:t>) + 10H</w:t>
      </w:r>
      <w:r w:rsidRPr="00924DD7">
        <w:rPr>
          <w:rFonts w:cs="Times New Roman"/>
          <w:sz w:val="24"/>
          <w:szCs w:val="24"/>
          <w:vertAlign w:val="subscript"/>
        </w:rPr>
        <w:t>2</w:t>
      </w:r>
      <w:r>
        <w:rPr>
          <w:rFonts w:cs="Times New Roman"/>
          <w:sz w:val="24"/>
          <w:szCs w:val="24"/>
        </w:rPr>
        <w:t>O(</w:t>
      </w:r>
      <w:r w:rsidRPr="00924DD7">
        <w:rPr>
          <w:rFonts w:cs="Times New Roman"/>
          <w:i/>
          <w:iCs/>
          <w:sz w:val="24"/>
          <w:szCs w:val="24"/>
        </w:rPr>
        <w:t>g</w:t>
      </w:r>
      <w:r>
        <w:rPr>
          <w:rFonts w:cs="Times New Roman"/>
          <w:sz w:val="24"/>
          <w:szCs w:val="24"/>
        </w:rPr>
        <w:t>) + O</w:t>
      </w:r>
      <w:r w:rsidRPr="00924DD7">
        <w:rPr>
          <w:rFonts w:cs="Times New Roman"/>
          <w:sz w:val="24"/>
          <w:szCs w:val="24"/>
          <w:vertAlign w:val="subscript"/>
        </w:rPr>
        <w:t>2</w:t>
      </w:r>
      <w:r>
        <w:rPr>
          <w:rFonts w:cs="Times New Roman"/>
          <w:sz w:val="24"/>
          <w:szCs w:val="24"/>
        </w:rPr>
        <w:t>(</w:t>
      </w:r>
      <w:r w:rsidRPr="00924DD7">
        <w:rPr>
          <w:rFonts w:cs="Times New Roman"/>
          <w:i/>
          <w:iCs/>
          <w:sz w:val="24"/>
          <w:szCs w:val="24"/>
        </w:rPr>
        <w:t>g</w:t>
      </w:r>
      <w:r>
        <w:rPr>
          <w:rFonts w:cs="Times New Roman"/>
          <w:sz w:val="24"/>
          <w:szCs w:val="24"/>
        </w:rPr>
        <w:t>)</w:t>
      </w:r>
    </w:p>
    <w:p w:rsidR="00924DD7" w:rsidRDefault="00D3128D" w:rsidP="004A2271">
      <w:pPr>
        <w:spacing w:after="120" w:line="240" w:lineRule="auto"/>
        <w:jc w:val="both"/>
        <w:rPr>
          <w:rFonts w:cs="Times New Roman"/>
          <w:sz w:val="24"/>
          <w:szCs w:val="24"/>
        </w:rPr>
      </w:pPr>
      <w:r>
        <w:rPr>
          <w:rFonts w:cs="Times New Roman"/>
          <w:sz w:val="24"/>
          <w:szCs w:val="24"/>
        </w:rPr>
        <w:t>The excess of oxygen gives the above explosive reaction a positive oxygen balance, whereas the below explosive reaction has a negative oxygen ba</w:t>
      </w:r>
      <w:r w:rsidR="00D11BC5">
        <w:rPr>
          <w:rFonts w:cs="Times New Roman"/>
          <w:sz w:val="24"/>
          <w:szCs w:val="24"/>
        </w:rPr>
        <w:t>lance due to incomplete consumed/oxidized</w:t>
      </w:r>
      <w:r>
        <w:rPr>
          <w:rFonts w:cs="Times New Roman"/>
          <w:sz w:val="24"/>
          <w:szCs w:val="24"/>
        </w:rPr>
        <w:t xml:space="preserve"> products in the form of carbon monoxide and solid carbon.</w:t>
      </w:r>
    </w:p>
    <w:p w:rsidR="00924DD7" w:rsidRDefault="00924DD7" w:rsidP="0073036E">
      <w:pPr>
        <w:spacing w:after="120" w:line="240" w:lineRule="auto"/>
        <w:jc w:val="center"/>
        <w:rPr>
          <w:rFonts w:cs="Times New Roman"/>
          <w:sz w:val="24"/>
          <w:szCs w:val="24"/>
        </w:rPr>
      </w:pPr>
      <w:r>
        <w:rPr>
          <w:rFonts w:cs="Times New Roman"/>
          <w:sz w:val="24"/>
          <w:szCs w:val="24"/>
        </w:rPr>
        <w:t>Negative oxygen balance example: RDX</w:t>
      </w:r>
    </w:p>
    <w:p w:rsidR="00924DD7" w:rsidRDefault="00924DD7" w:rsidP="0073036E">
      <w:pPr>
        <w:spacing w:after="120" w:line="240" w:lineRule="auto"/>
        <w:jc w:val="center"/>
        <w:rPr>
          <w:rFonts w:cs="Times New Roman"/>
          <w:sz w:val="24"/>
          <w:szCs w:val="24"/>
        </w:rPr>
      </w:pPr>
      <w:r>
        <w:rPr>
          <w:rFonts w:cs="Times New Roman"/>
          <w:sz w:val="24"/>
          <w:szCs w:val="24"/>
        </w:rPr>
        <w:t>2C</w:t>
      </w:r>
      <w:r w:rsidRPr="0073036E">
        <w:rPr>
          <w:rFonts w:cs="Times New Roman"/>
          <w:sz w:val="24"/>
          <w:szCs w:val="24"/>
          <w:vertAlign w:val="subscript"/>
        </w:rPr>
        <w:t>7</w:t>
      </w:r>
      <w:r w:rsidR="0073036E">
        <w:rPr>
          <w:rFonts w:cs="Times New Roman"/>
          <w:sz w:val="24"/>
          <w:szCs w:val="24"/>
        </w:rPr>
        <w:t>H</w:t>
      </w:r>
      <w:r w:rsidR="0073036E" w:rsidRPr="0073036E">
        <w:rPr>
          <w:rFonts w:cs="Times New Roman"/>
          <w:sz w:val="24"/>
          <w:szCs w:val="24"/>
          <w:vertAlign w:val="subscript"/>
        </w:rPr>
        <w:t>5</w:t>
      </w:r>
      <w:r w:rsidR="0073036E">
        <w:rPr>
          <w:rFonts w:cs="Times New Roman"/>
          <w:sz w:val="24"/>
          <w:szCs w:val="24"/>
        </w:rPr>
        <w:t>N</w:t>
      </w:r>
      <w:r w:rsidR="0073036E" w:rsidRPr="0073036E">
        <w:rPr>
          <w:rFonts w:cs="Times New Roman"/>
          <w:sz w:val="24"/>
          <w:szCs w:val="24"/>
          <w:vertAlign w:val="subscript"/>
        </w:rPr>
        <w:t>3</w:t>
      </w:r>
      <w:r w:rsidR="0073036E">
        <w:rPr>
          <w:rFonts w:cs="Times New Roman"/>
          <w:sz w:val="24"/>
          <w:szCs w:val="24"/>
        </w:rPr>
        <w:t>O</w:t>
      </w:r>
      <w:r w:rsidR="0073036E" w:rsidRPr="0073036E">
        <w:rPr>
          <w:rFonts w:cs="Times New Roman"/>
          <w:sz w:val="24"/>
          <w:szCs w:val="24"/>
          <w:vertAlign w:val="subscript"/>
        </w:rPr>
        <w:t>6</w:t>
      </w:r>
      <w:r w:rsidR="0073036E">
        <w:rPr>
          <w:rFonts w:cs="Times New Roman"/>
          <w:sz w:val="24"/>
          <w:szCs w:val="24"/>
        </w:rPr>
        <w:t xml:space="preserve"> → </w:t>
      </w:r>
      <w:proofErr w:type="gramStart"/>
      <w:r w:rsidR="0073036E">
        <w:rPr>
          <w:rFonts w:cs="Times New Roman"/>
          <w:sz w:val="24"/>
          <w:szCs w:val="24"/>
        </w:rPr>
        <w:t>3N</w:t>
      </w:r>
      <w:r w:rsidR="0073036E" w:rsidRPr="0073036E">
        <w:rPr>
          <w:rFonts w:cs="Times New Roman"/>
          <w:sz w:val="24"/>
          <w:szCs w:val="24"/>
          <w:vertAlign w:val="subscript"/>
        </w:rPr>
        <w:t>2</w:t>
      </w:r>
      <w:r w:rsidR="0073036E">
        <w:rPr>
          <w:rFonts w:cs="Times New Roman"/>
          <w:sz w:val="24"/>
          <w:szCs w:val="24"/>
        </w:rPr>
        <w:t>(</w:t>
      </w:r>
      <w:proofErr w:type="gramEnd"/>
      <w:r w:rsidR="0073036E" w:rsidRPr="0073036E">
        <w:rPr>
          <w:rFonts w:cs="Times New Roman"/>
          <w:i/>
          <w:iCs/>
          <w:sz w:val="24"/>
          <w:szCs w:val="24"/>
        </w:rPr>
        <w:t>g</w:t>
      </w:r>
      <w:r w:rsidR="0073036E">
        <w:rPr>
          <w:rFonts w:cs="Times New Roman"/>
          <w:sz w:val="24"/>
          <w:szCs w:val="24"/>
        </w:rPr>
        <w:t>) + 7CO(</w:t>
      </w:r>
      <w:r w:rsidR="0073036E" w:rsidRPr="0073036E">
        <w:rPr>
          <w:rFonts w:cs="Times New Roman"/>
          <w:i/>
          <w:iCs/>
          <w:sz w:val="24"/>
          <w:szCs w:val="24"/>
        </w:rPr>
        <w:t>g</w:t>
      </w:r>
      <w:r w:rsidR="0073036E">
        <w:rPr>
          <w:rFonts w:cs="Times New Roman"/>
          <w:sz w:val="24"/>
          <w:szCs w:val="24"/>
        </w:rPr>
        <w:t>) + 5H</w:t>
      </w:r>
      <w:r w:rsidR="0073036E" w:rsidRPr="0073036E">
        <w:rPr>
          <w:rFonts w:cs="Times New Roman"/>
          <w:sz w:val="24"/>
          <w:szCs w:val="24"/>
          <w:vertAlign w:val="subscript"/>
        </w:rPr>
        <w:t>2</w:t>
      </w:r>
      <w:r w:rsidR="0073036E">
        <w:rPr>
          <w:rFonts w:cs="Times New Roman"/>
          <w:sz w:val="24"/>
          <w:szCs w:val="24"/>
        </w:rPr>
        <w:t>O(</w:t>
      </w:r>
      <w:r w:rsidR="0073036E" w:rsidRPr="0073036E">
        <w:rPr>
          <w:rFonts w:cs="Times New Roman"/>
          <w:i/>
          <w:iCs/>
          <w:sz w:val="24"/>
          <w:szCs w:val="24"/>
        </w:rPr>
        <w:t>g</w:t>
      </w:r>
      <w:r w:rsidR="0073036E">
        <w:rPr>
          <w:rFonts w:cs="Times New Roman"/>
          <w:sz w:val="24"/>
          <w:szCs w:val="24"/>
        </w:rPr>
        <w:t>) + 7C(</w:t>
      </w:r>
      <w:r w:rsidR="0073036E" w:rsidRPr="0073036E">
        <w:rPr>
          <w:rFonts w:cs="Times New Roman"/>
          <w:i/>
          <w:iCs/>
          <w:sz w:val="24"/>
          <w:szCs w:val="24"/>
        </w:rPr>
        <w:t>s</w:t>
      </w:r>
      <w:r w:rsidR="0073036E">
        <w:rPr>
          <w:rFonts w:cs="Times New Roman"/>
          <w:sz w:val="24"/>
          <w:szCs w:val="24"/>
        </w:rPr>
        <w:t>)</w:t>
      </w:r>
    </w:p>
    <w:p w:rsidR="004A2271" w:rsidRPr="0073036E" w:rsidRDefault="004A2271" w:rsidP="00D3128D">
      <w:pPr>
        <w:spacing w:after="120" w:line="240" w:lineRule="auto"/>
        <w:jc w:val="both"/>
        <w:rPr>
          <w:rFonts w:cs="Times New Roman"/>
          <w:sz w:val="24"/>
          <w:szCs w:val="24"/>
        </w:rPr>
      </w:pPr>
    </w:p>
    <w:p w:rsidR="00AE530E" w:rsidRPr="004A2271" w:rsidRDefault="00AE530E" w:rsidP="00AE530E">
      <w:pPr>
        <w:pStyle w:val="Heading2"/>
        <w:rPr>
          <w:rFonts w:asciiTheme="majorHAnsi" w:hAnsiTheme="majorHAnsi"/>
          <w:color w:val="000000" w:themeColor="text1"/>
          <w:sz w:val="28"/>
          <w:szCs w:val="28"/>
        </w:rPr>
      </w:pPr>
      <w:r w:rsidRPr="004A2271">
        <w:rPr>
          <w:rFonts w:asciiTheme="majorHAnsi" w:hAnsiTheme="majorHAnsi"/>
          <w:color w:val="000000" w:themeColor="text1"/>
          <w:sz w:val="28"/>
          <w:szCs w:val="28"/>
        </w:rPr>
        <w:t>Experiment Planning</w:t>
      </w:r>
    </w:p>
    <w:p w:rsidR="00AE530E" w:rsidRPr="00AE530E" w:rsidRDefault="00AE530E" w:rsidP="00AE530E">
      <w:pPr>
        <w:pStyle w:val="Heading2"/>
        <w:jc w:val="both"/>
        <w:rPr>
          <w:rFonts w:asciiTheme="majorHAnsi" w:hAnsiTheme="majorHAnsi"/>
          <w:color w:val="000000" w:themeColor="text1"/>
        </w:rPr>
      </w:pPr>
      <w:r w:rsidRPr="00AE530E">
        <w:rPr>
          <w:rFonts w:asciiTheme="majorHAnsi" w:hAnsiTheme="majorHAnsi"/>
          <w:color w:val="000000" w:themeColor="text1"/>
        </w:rPr>
        <w:t xml:space="preserve">Thoroughly review the literature about the potentially explosive compound involved. If someone else has already done the experiment, contact the researcher to obtain safety-related information that might not have been recorded. </w:t>
      </w:r>
    </w:p>
    <w:p w:rsidR="00AE530E" w:rsidRPr="00AE530E" w:rsidRDefault="00AE530E" w:rsidP="00AE530E">
      <w:pPr>
        <w:pStyle w:val="Heading2"/>
        <w:jc w:val="both"/>
        <w:rPr>
          <w:rFonts w:asciiTheme="majorHAnsi" w:hAnsiTheme="majorHAnsi"/>
          <w:color w:val="000000" w:themeColor="text1"/>
        </w:rPr>
      </w:pPr>
      <w:r w:rsidRPr="00AE530E">
        <w:rPr>
          <w:rFonts w:asciiTheme="majorHAnsi" w:hAnsiTheme="majorHAnsi"/>
          <w:b w:val="0"/>
          <w:color w:val="000000" w:themeColor="text1"/>
        </w:rPr>
        <w:t xml:space="preserve">Talk to researchers who have successfully performed this or similar experiments to learn about the safety measures and precautions they took. </w:t>
      </w:r>
    </w:p>
    <w:p w:rsidR="00AE530E" w:rsidRPr="00D669D7" w:rsidRDefault="00D11BC5" w:rsidP="00AE530E">
      <w:pPr>
        <w:pStyle w:val="Heading2"/>
        <w:rPr>
          <w:rFonts w:asciiTheme="majorHAnsi" w:hAnsiTheme="majorHAnsi"/>
          <w:bCs w:val="0"/>
          <w:color w:val="000000" w:themeColor="text1"/>
        </w:rPr>
      </w:pPr>
      <w:r>
        <w:rPr>
          <w:rFonts w:asciiTheme="majorHAnsi" w:hAnsiTheme="majorHAnsi"/>
          <w:bCs w:val="0"/>
          <w:color w:val="000000" w:themeColor="text1"/>
        </w:rPr>
        <w:lastRenderedPageBreak/>
        <w:t>Hazard</w:t>
      </w:r>
      <w:r w:rsidR="00AE530E" w:rsidRPr="00D669D7">
        <w:rPr>
          <w:rFonts w:asciiTheme="majorHAnsi" w:hAnsiTheme="majorHAnsi"/>
          <w:bCs w:val="0"/>
          <w:color w:val="000000" w:themeColor="text1"/>
        </w:rPr>
        <w:t xml:space="preserve"> Assessment </w:t>
      </w:r>
    </w:p>
    <w:p w:rsidR="00AE530E" w:rsidRPr="00D11BC5" w:rsidRDefault="00AE530E" w:rsidP="00D11BC5">
      <w:pPr>
        <w:autoSpaceDE w:val="0"/>
        <w:autoSpaceDN w:val="0"/>
        <w:adjustRightInd w:val="0"/>
        <w:spacing w:after="0" w:line="240" w:lineRule="auto"/>
        <w:jc w:val="both"/>
        <w:rPr>
          <w:rFonts w:cs="Times New Roman"/>
          <w:sz w:val="24"/>
          <w:szCs w:val="24"/>
        </w:rPr>
      </w:pPr>
      <w:r w:rsidRPr="00D669D7">
        <w:rPr>
          <w:rFonts w:cs="Times New Roman"/>
          <w:sz w:val="24"/>
          <w:szCs w:val="24"/>
        </w:rPr>
        <w:t xml:space="preserve">Perform a thorough hazard assessment before starting a new experimental procedure. </w:t>
      </w:r>
      <w:r w:rsidR="00D11BC5">
        <w:rPr>
          <w:rFonts w:cs="Times New Roman"/>
          <w:color w:val="000000" w:themeColor="text1"/>
          <w:sz w:val="24"/>
          <w:szCs w:val="24"/>
        </w:rPr>
        <w:t xml:space="preserve">To learn how to perform a Reaction Hazard Assessment, attending a session of Chemical Safety II is necessary. Check the Research Safety Teams training schedule for sessions or contact </w:t>
      </w:r>
      <w:hyperlink r:id="rId18" w:history="1">
        <w:r w:rsidR="00D11BC5" w:rsidRPr="008D5D5B">
          <w:rPr>
            <w:rStyle w:val="Hyperlink"/>
            <w:rFonts w:cs="Times New Roman"/>
            <w:sz w:val="24"/>
            <w:szCs w:val="24"/>
          </w:rPr>
          <w:t>researchsafety@kaust.edu.sa</w:t>
        </w:r>
      </w:hyperlink>
      <w:r w:rsidR="00D11BC5" w:rsidRPr="00D11BC5">
        <w:rPr>
          <w:rStyle w:val="Hyperlink"/>
          <w:rFonts w:cs="Times New Roman"/>
          <w:color w:val="000000" w:themeColor="text1"/>
          <w:sz w:val="24"/>
          <w:szCs w:val="24"/>
        </w:rPr>
        <w:t>.</w:t>
      </w:r>
      <w:r w:rsidR="00D11BC5">
        <w:rPr>
          <w:rFonts w:cs="Times New Roman"/>
          <w:sz w:val="24"/>
          <w:szCs w:val="24"/>
        </w:rPr>
        <w:t xml:space="preserve"> </w:t>
      </w:r>
      <w:r w:rsidRPr="00D669D7">
        <w:rPr>
          <w:rFonts w:cs="Times New Roman"/>
          <w:sz w:val="24"/>
          <w:szCs w:val="24"/>
        </w:rPr>
        <w:t>Discuss the assessment with experienced researchers to make sure that all risks have been identified and that you understand how to address them.</w:t>
      </w:r>
    </w:p>
    <w:p w:rsidR="00AE530E" w:rsidRPr="00D669D7" w:rsidRDefault="00AE530E" w:rsidP="00AE530E">
      <w:pPr>
        <w:pStyle w:val="Heading2"/>
        <w:rPr>
          <w:rFonts w:asciiTheme="majorHAnsi" w:hAnsiTheme="majorHAnsi"/>
          <w:color w:val="000000" w:themeColor="text1"/>
        </w:rPr>
      </w:pPr>
      <w:r w:rsidRPr="00D669D7">
        <w:rPr>
          <w:rFonts w:asciiTheme="majorHAnsi" w:hAnsiTheme="majorHAnsi"/>
          <w:color w:val="000000" w:themeColor="text1"/>
        </w:rPr>
        <w:t>Engineering Controls and Work Practices</w:t>
      </w:r>
    </w:p>
    <w:p w:rsidR="00AE530E" w:rsidRPr="00AE530E" w:rsidRDefault="00AE530E" w:rsidP="00AE530E">
      <w:pPr>
        <w:spacing w:after="120" w:line="240" w:lineRule="auto"/>
        <w:jc w:val="both"/>
        <w:rPr>
          <w:rFonts w:cs="Times New Roman"/>
          <w:sz w:val="24"/>
          <w:szCs w:val="24"/>
        </w:rPr>
      </w:pPr>
      <w:r w:rsidRPr="00AE530E">
        <w:rPr>
          <w:rFonts w:cs="Times New Roman"/>
          <w:sz w:val="24"/>
          <w:szCs w:val="24"/>
        </w:rPr>
        <w:t xml:space="preserve">When performing experiments where an explosion could occur, use a face shield, blast shield, or the hood sash to protect the body from flying chards of glass, metal, chemicals, heat, and gas. A properly chosen shield can provide sufficient protection without hindering your ability to manipulate the experiment. Be aware that the hood sash provides protection only against minor explosions. </w:t>
      </w:r>
    </w:p>
    <w:p w:rsidR="00AE530E" w:rsidRPr="00AE530E" w:rsidRDefault="00AE530E" w:rsidP="00AE530E">
      <w:pPr>
        <w:spacing w:after="120" w:line="240" w:lineRule="auto"/>
        <w:rPr>
          <w:rFonts w:cs="Times New Roman"/>
          <w:sz w:val="24"/>
          <w:szCs w:val="24"/>
        </w:rPr>
      </w:pPr>
      <w:r w:rsidRPr="00AE530E">
        <w:rPr>
          <w:rFonts w:cs="Times New Roman"/>
          <w:sz w:val="24"/>
          <w:szCs w:val="24"/>
        </w:rPr>
        <w:t>Never perform potentially explosive experiments when alone in the lab. Inform your lab mates before starting the experiment.</w:t>
      </w:r>
    </w:p>
    <w:p w:rsidR="00AE530E" w:rsidRPr="00AE530E" w:rsidRDefault="00AE530E" w:rsidP="00AE530E">
      <w:pPr>
        <w:spacing w:after="0" w:line="240" w:lineRule="auto"/>
        <w:rPr>
          <w:rFonts w:cs="Times New Roman"/>
          <w:sz w:val="24"/>
          <w:szCs w:val="24"/>
        </w:rPr>
      </w:pPr>
    </w:p>
    <w:p w:rsidR="00AE530E" w:rsidRPr="00E16C22" w:rsidRDefault="00AE530E" w:rsidP="00AE530E">
      <w:pPr>
        <w:spacing w:after="0" w:line="240" w:lineRule="auto"/>
        <w:ind w:left="720"/>
        <w:rPr>
          <w:rFonts w:ascii="Verdana" w:hAnsi="Verdana" w:cs="Times New Roman"/>
          <w:sz w:val="24"/>
          <w:szCs w:val="24"/>
        </w:rPr>
      </w:pPr>
      <w:r w:rsidRPr="00AE530E">
        <w:rPr>
          <w:rFonts w:cs="Times New Roman"/>
          <w:sz w:val="24"/>
          <w:szCs w:val="24"/>
        </w:rPr>
        <w:t xml:space="preserve">Blast shield                             </w:t>
      </w:r>
      <w:r w:rsidR="00877C2E">
        <w:rPr>
          <w:rFonts w:cs="Times New Roman"/>
          <w:sz w:val="24"/>
          <w:szCs w:val="24"/>
        </w:rPr>
        <w:t xml:space="preserve">                 </w:t>
      </w:r>
      <w:r w:rsidRPr="00AE530E">
        <w:rPr>
          <w:rFonts w:cs="Times New Roman"/>
          <w:sz w:val="24"/>
          <w:szCs w:val="24"/>
        </w:rPr>
        <w:t>Researcher using hood sashes as a shield</w:t>
      </w:r>
      <w:r w:rsidRPr="00FD524E">
        <w:rPr>
          <w:rFonts w:ascii="Verdana" w:hAnsi="Verdana" w:cs="Times New Roman"/>
          <w:b/>
          <w:noProof/>
          <w:color w:val="FF0000"/>
          <w:sz w:val="24"/>
          <w:szCs w:val="24"/>
        </w:rPr>
        <w:drawing>
          <wp:inline distT="0" distB="0" distL="0" distR="0" wp14:anchorId="54944637" wp14:editId="57568E36">
            <wp:extent cx="1819275" cy="2962275"/>
            <wp:effectExtent l="0" t="0" r="9525" b="9525"/>
            <wp:docPr id="1" name="Picture 1" descr="\\DRS-FILES.ad.uiuc.edu\users\cmotter\My Documents\Factsheet POTENTIALLY EXPLOSIVE REACTIONS\P1020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S-FILES.ad.uiuc.edu\users\cmotter\My Documents\Factsheet POTENTIALLY EXPLOSIVE REACTIONS\P1020695.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3398" t="12991" r="15384" b="12192"/>
                    <a:stretch/>
                  </pic:blipFill>
                  <pic:spPr bwMode="auto">
                    <a:xfrm>
                      <a:off x="0" y="0"/>
                      <a:ext cx="1819275" cy="2962275"/>
                    </a:xfrm>
                    <a:prstGeom prst="rect">
                      <a:avLst/>
                    </a:prstGeom>
                    <a:noFill/>
                    <a:ln>
                      <a:noFill/>
                    </a:ln>
                    <a:extLst>
                      <a:ext uri="{53640926-AAD7-44D8-BBD7-CCE9431645EC}">
                        <a14:shadowObscured xmlns:a14="http://schemas.microsoft.com/office/drawing/2010/main"/>
                      </a:ext>
                    </a:extLst>
                  </pic:spPr>
                </pic:pic>
              </a:graphicData>
            </a:graphic>
          </wp:inline>
        </w:drawing>
      </w:r>
      <w:r w:rsidRPr="00E16C22">
        <w:rPr>
          <w:rFonts w:ascii="Verdana" w:hAnsi="Verdana" w:cs="Times New Roman"/>
        </w:rPr>
        <w:t xml:space="preserve">   </w:t>
      </w:r>
      <w:r>
        <w:rPr>
          <w:rFonts w:ascii="Verdana" w:hAnsi="Verdana" w:cs="Times New Roman"/>
        </w:rPr>
        <w:t xml:space="preserve">  </w:t>
      </w:r>
      <w:r w:rsidRPr="00E16C22">
        <w:rPr>
          <w:rFonts w:ascii="Verdana" w:hAnsi="Verdana" w:cs="Times New Roman"/>
        </w:rPr>
        <w:t xml:space="preserve"> </w:t>
      </w:r>
      <w:r w:rsidRPr="00E16C22">
        <w:rPr>
          <w:rFonts w:ascii="Verdana" w:hAnsi="Verdana" w:cs="Times New Roman"/>
          <w:sz w:val="24"/>
          <w:szCs w:val="24"/>
        </w:rPr>
        <w:t xml:space="preserve">  </w:t>
      </w:r>
      <w:r w:rsidRPr="00E16C22">
        <w:rPr>
          <w:rFonts w:ascii="Verdana" w:hAnsi="Verdana" w:cs="Times New Roman"/>
          <w:noProof/>
          <w:sz w:val="24"/>
          <w:szCs w:val="24"/>
        </w:rPr>
        <w:drawing>
          <wp:inline distT="0" distB="0" distL="0" distR="0" wp14:anchorId="2E9A8C7A" wp14:editId="7A0BFC82">
            <wp:extent cx="2924175" cy="2971800"/>
            <wp:effectExtent l="0" t="0" r="9525" b="0"/>
            <wp:docPr id="3" name="Picture 3" descr="\\DRS-FILES.ad.uiuc.edu\users\cmotter\My Documents\Factsheet POTENTIALLY EXPLOSIVE REACTIONS\P1020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S-FILES.ad.uiuc.edu\users\cmotter\My Documents\Factsheet POTENTIALLY EXPLOSIVE REACTIONS\P1020697.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2269" r="13876"/>
                    <a:stretch/>
                  </pic:blipFill>
                  <pic:spPr bwMode="auto">
                    <a:xfrm>
                      <a:off x="0" y="0"/>
                      <a:ext cx="2924175" cy="2971800"/>
                    </a:xfrm>
                    <a:prstGeom prst="rect">
                      <a:avLst/>
                    </a:prstGeom>
                    <a:noFill/>
                    <a:ln>
                      <a:noFill/>
                    </a:ln>
                    <a:extLst>
                      <a:ext uri="{53640926-AAD7-44D8-BBD7-CCE9431645EC}">
                        <a14:shadowObscured xmlns:a14="http://schemas.microsoft.com/office/drawing/2010/main"/>
                      </a:ext>
                    </a:extLst>
                  </pic:spPr>
                </pic:pic>
              </a:graphicData>
            </a:graphic>
          </wp:inline>
        </w:drawing>
      </w:r>
    </w:p>
    <w:p w:rsidR="00AE530E" w:rsidRPr="00FD524E" w:rsidRDefault="00AE530E" w:rsidP="00AE530E">
      <w:pPr>
        <w:spacing w:after="0" w:line="240" w:lineRule="auto"/>
        <w:rPr>
          <w:rFonts w:ascii="Verdana" w:hAnsi="Verdana" w:cs="Times New Roman"/>
          <w:sz w:val="24"/>
          <w:szCs w:val="24"/>
        </w:rPr>
      </w:pPr>
    </w:p>
    <w:p w:rsidR="00AE530E" w:rsidRPr="00AE530E" w:rsidRDefault="00AE530E" w:rsidP="00AE530E">
      <w:pPr>
        <w:pStyle w:val="Heading2"/>
        <w:rPr>
          <w:rFonts w:asciiTheme="majorHAnsi" w:hAnsiTheme="majorHAnsi"/>
          <w:color w:val="000000" w:themeColor="text1"/>
        </w:rPr>
      </w:pPr>
      <w:r w:rsidRPr="00AE530E">
        <w:rPr>
          <w:rFonts w:asciiTheme="majorHAnsi" w:hAnsiTheme="majorHAnsi"/>
          <w:color w:val="000000" w:themeColor="text1"/>
        </w:rPr>
        <w:t>Common Explosion Hazards and their Control</w:t>
      </w:r>
    </w:p>
    <w:p w:rsidR="00AE530E" w:rsidRDefault="00AE530E" w:rsidP="00AE530E">
      <w:pPr>
        <w:pStyle w:val="Heading3"/>
        <w:jc w:val="both"/>
        <w:rPr>
          <w:color w:val="000000" w:themeColor="text1"/>
        </w:rPr>
      </w:pPr>
      <w:r w:rsidRPr="00AE530E">
        <w:rPr>
          <w:color w:val="000000" w:themeColor="text1"/>
        </w:rPr>
        <w:lastRenderedPageBreak/>
        <w:t>The explosive decomposition of energetic compounds can be triggered by heat, mechanical stress, light, catalysts (e.g., metals), or sparks. The sensitivity to each factor varies with the compound. Often, the stability of a compound decreases with increasing concentration, and the pure or dry compound is the most sensitive to decomposition.</w:t>
      </w:r>
    </w:p>
    <w:p w:rsidR="00AE530E" w:rsidRPr="00AE530E" w:rsidRDefault="00AE530E" w:rsidP="00AE530E"/>
    <w:p w:rsidR="00AE530E" w:rsidRPr="004A2271" w:rsidRDefault="00AE530E" w:rsidP="00AE530E">
      <w:pPr>
        <w:pStyle w:val="Heading3"/>
        <w:rPr>
          <w:b/>
          <w:bCs/>
          <w:color w:val="000000" w:themeColor="text1"/>
        </w:rPr>
      </w:pPr>
      <w:r w:rsidRPr="004A2271">
        <w:rPr>
          <w:b/>
          <w:bCs/>
          <w:color w:val="000000" w:themeColor="text1"/>
        </w:rPr>
        <w:t>Scale of the experiment</w:t>
      </w:r>
    </w:p>
    <w:p w:rsidR="00AE530E" w:rsidRDefault="00AE530E" w:rsidP="00AE530E">
      <w:pPr>
        <w:spacing w:after="0" w:line="240" w:lineRule="auto"/>
        <w:jc w:val="both"/>
        <w:rPr>
          <w:rFonts w:cs="Times New Roman"/>
          <w:color w:val="000000" w:themeColor="text1"/>
          <w:sz w:val="24"/>
          <w:szCs w:val="24"/>
        </w:rPr>
      </w:pPr>
      <w:r w:rsidRPr="00AE530E">
        <w:rPr>
          <w:rFonts w:cs="Times New Roman"/>
          <w:color w:val="000000" w:themeColor="text1"/>
          <w:sz w:val="24"/>
          <w:szCs w:val="24"/>
        </w:rPr>
        <w:t>Be aware that the hazards of an experiment are directly related to its scale. Any work on a potentially explosive compound should</w:t>
      </w:r>
      <w:r w:rsidR="00651A75">
        <w:rPr>
          <w:rFonts w:cs="Times New Roman"/>
          <w:color w:val="000000" w:themeColor="text1"/>
          <w:sz w:val="24"/>
          <w:szCs w:val="24"/>
        </w:rPr>
        <w:t xml:space="preserve"> be performed on small scale (&lt;0.5</w:t>
      </w:r>
      <w:r w:rsidRPr="00AE530E">
        <w:rPr>
          <w:rFonts w:cs="Times New Roman"/>
          <w:color w:val="000000" w:themeColor="text1"/>
          <w:sz w:val="24"/>
          <w:szCs w:val="24"/>
        </w:rPr>
        <w:t xml:space="preserve"> gram) to verify its safety before scaling up the experiment. NEVER scale up a reaction by more than 5-fold per experiment.</w:t>
      </w:r>
    </w:p>
    <w:p w:rsidR="00AE530E" w:rsidRPr="00AE530E" w:rsidRDefault="00AE530E" w:rsidP="00AE530E">
      <w:pPr>
        <w:spacing w:after="0" w:line="240" w:lineRule="auto"/>
        <w:jc w:val="both"/>
        <w:rPr>
          <w:rFonts w:cs="Times New Roman"/>
          <w:color w:val="000000" w:themeColor="text1"/>
          <w:sz w:val="24"/>
          <w:szCs w:val="24"/>
        </w:rPr>
      </w:pPr>
      <w:r w:rsidRPr="00AE530E">
        <w:rPr>
          <w:rFonts w:cs="Times New Roman"/>
          <w:color w:val="000000" w:themeColor="text1"/>
          <w:sz w:val="24"/>
          <w:szCs w:val="24"/>
        </w:rPr>
        <w:t xml:space="preserve"> </w:t>
      </w:r>
    </w:p>
    <w:p w:rsidR="00AE530E" w:rsidRPr="004A2271" w:rsidRDefault="00AE530E" w:rsidP="00AE530E">
      <w:pPr>
        <w:pStyle w:val="Heading3"/>
        <w:rPr>
          <w:b/>
          <w:bCs/>
          <w:color w:val="000000" w:themeColor="text1"/>
        </w:rPr>
      </w:pPr>
      <w:r w:rsidRPr="004A2271">
        <w:rPr>
          <w:b/>
          <w:bCs/>
          <w:color w:val="000000" w:themeColor="text1"/>
        </w:rPr>
        <w:t>Heat</w:t>
      </w:r>
    </w:p>
    <w:p w:rsidR="00AE530E" w:rsidRDefault="00AE530E" w:rsidP="00AE530E">
      <w:pPr>
        <w:spacing w:after="0" w:line="240" w:lineRule="auto"/>
        <w:jc w:val="both"/>
        <w:rPr>
          <w:rFonts w:cs="Times New Roman"/>
          <w:color w:val="000000" w:themeColor="text1"/>
          <w:sz w:val="24"/>
          <w:szCs w:val="24"/>
        </w:rPr>
      </w:pPr>
      <w:r w:rsidRPr="00AE530E">
        <w:rPr>
          <w:rFonts w:cs="Times New Roman"/>
          <w:color w:val="000000" w:themeColor="text1"/>
          <w:sz w:val="24"/>
          <w:szCs w:val="24"/>
        </w:rPr>
        <w:t>Many explosive compounds are sensitive to heat, which can make processes such as concentrating solutions, refluxing, sublimations, and distillations dangerous. Use solvents with low boiling points or vacuum distillations if possible to avoid higher temperatures. Be aware that a solvent with a low boiling point may evaporate quickly.</w:t>
      </w:r>
    </w:p>
    <w:p w:rsidR="00AE530E" w:rsidRPr="00AE530E" w:rsidRDefault="00AE530E" w:rsidP="00AE530E">
      <w:pPr>
        <w:spacing w:after="0" w:line="240" w:lineRule="auto"/>
        <w:jc w:val="both"/>
        <w:rPr>
          <w:rFonts w:cs="Times New Roman"/>
          <w:color w:val="000000" w:themeColor="text1"/>
          <w:sz w:val="24"/>
          <w:szCs w:val="24"/>
        </w:rPr>
      </w:pPr>
    </w:p>
    <w:p w:rsidR="00AE530E" w:rsidRPr="004A2271" w:rsidRDefault="00AE530E" w:rsidP="00AE530E">
      <w:pPr>
        <w:pStyle w:val="Heading3"/>
        <w:rPr>
          <w:b/>
          <w:bCs/>
          <w:color w:val="000000" w:themeColor="text1"/>
        </w:rPr>
      </w:pPr>
      <w:r w:rsidRPr="004A2271">
        <w:rPr>
          <w:b/>
          <w:bCs/>
          <w:color w:val="000000" w:themeColor="text1"/>
        </w:rPr>
        <w:t>Mechanical Stress</w:t>
      </w:r>
    </w:p>
    <w:p w:rsidR="00AE530E" w:rsidRPr="00AE530E" w:rsidRDefault="00AE530E" w:rsidP="00AE530E">
      <w:pPr>
        <w:spacing w:after="0" w:line="240" w:lineRule="auto"/>
        <w:jc w:val="both"/>
        <w:rPr>
          <w:rFonts w:cs="Times New Roman"/>
          <w:color w:val="000000" w:themeColor="text1"/>
          <w:sz w:val="24"/>
          <w:szCs w:val="24"/>
        </w:rPr>
      </w:pPr>
      <w:r w:rsidRPr="00AE530E">
        <w:rPr>
          <w:rFonts w:cs="Times New Roman"/>
          <w:color w:val="000000" w:themeColor="text1"/>
          <w:sz w:val="24"/>
          <w:szCs w:val="24"/>
        </w:rPr>
        <w:t xml:space="preserve">Compounds that are sensitive to shock or friction must be handled carefully to avoid any mechanical stress. Avoid vigorous stirring, sonication, and grinding. Rough edges or scratches in glassware can be enough to initiate decomposition. Use specialized equipment that has no rough surfaces or sharp edges for crystallizations and extractions of these compounds (i.e., avoid sintered funnels and use paper filtration instead). </w:t>
      </w:r>
    </w:p>
    <w:p w:rsidR="00AE530E" w:rsidRPr="00AE530E" w:rsidRDefault="00AE530E" w:rsidP="00AE530E">
      <w:pPr>
        <w:spacing w:after="120" w:line="240" w:lineRule="auto"/>
        <w:jc w:val="both"/>
        <w:rPr>
          <w:rFonts w:cs="Times New Roman"/>
          <w:color w:val="000000" w:themeColor="text1"/>
          <w:sz w:val="24"/>
          <w:szCs w:val="24"/>
        </w:rPr>
      </w:pPr>
      <w:r w:rsidRPr="00AE530E">
        <w:rPr>
          <w:rFonts w:cs="Times New Roman"/>
          <w:color w:val="000000" w:themeColor="text1"/>
          <w:sz w:val="24"/>
          <w:szCs w:val="24"/>
        </w:rPr>
        <w:t>If diazomethane cannot be substituted, specialized distillation equipment with flame</w:t>
      </w:r>
      <w:r w:rsidR="006618DB">
        <w:rPr>
          <w:rFonts w:cs="Times New Roman"/>
          <w:color w:val="000000" w:themeColor="text1"/>
          <w:sz w:val="24"/>
          <w:szCs w:val="24"/>
        </w:rPr>
        <w:t>-polished joints is</w:t>
      </w:r>
      <w:r w:rsidRPr="00AE530E">
        <w:rPr>
          <w:rFonts w:cs="Times New Roman"/>
          <w:color w:val="000000" w:themeColor="text1"/>
          <w:sz w:val="24"/>
          <w:szCs w:val="24"/>
        </w:rPr>
        <w:t xml:space="preserve"> commercially available.</w:t>
      </w:r>
    </w:p>
    <w:p w:rsidR="00AE530E" w:rsidRPr="004A2271" w:rsidRDefault="00AE530E" w:rsidP="00AE530E">
      <w:pPr>
        <w:spacing w:after="120" w:line="240" w:lineRule="auto"/>
        <w:jc w:val="both"/>
        <w:rPr>
          <w:rFonts w:cs="Times New Roman"/>
          <w:b/>
          <w:bCs/>
          <w:color w:val="000000" w:themeColor="text1"/>
          <w:sz w:val="24"/>
          <w:szCs w:val="24"/>
        </w:rPr>
      </w:pPr>
      <w:r w:rsidRPr="004A2271">
        <w:rPr>
          <w:rFonts w:cs="Times New Roman"/>
          <w:b/>
          <w:bCs/>
          <w:color w:val="000000" w:themeColor="text1"/>
          <w:sz w:val="24"/>
          <w:szCs w:val="24"/>
        </w:rPr>
        <w:t>Catalysts</w:t>
      </w:r>
    </w:p>
    <w:p w:rsidR="00AE530E" w:rsidRPr="00AE530E" w:rsidRDefault="00AE530E" w:rsidP="00AE530E">
      <w:pPr>
        <w:spacing w:after="120" w:line="240" w:lineRule="auto"/>
        <w:jc w:val="both"/>
        <w:rPr>
          <w:rFonts w:cs="Times New Roman"/>
          <w:color w:val="000000" w:themeColor="text1"/>
          <w:sz w:val="24"/>
          <w:szCs w:val="24"/>
        </w:rPr>
      </w:pPr>
      <w:r w:rsidRPr="00AE530E">
        <w:rPr>
          <w:rFonts w:cs="Times New Roman"/>
          <w:color w:val="000000" w:themeColor="text1"/>
          <w:sz w:val="24"/>
          <w:szCs w:val="24"/>
        </w:rPr>
        <w:t xml:space="preserve">Some compounds (e.g., organic peroxides) can decompose on contact with metals. </w:t>
      </w:r>
      <w:r w:rsidR="006618DB">
        <w:rPr>
          <w:rFonts w:cs="Times New Roman"/>
          <w:color w:val="000000" w:themeColor="text1"/>
          <w:sz w:val="24"/>
          <w:szCs w:val="24"/>
        </w:rPr>
        <w:t xml:space="preserve">These metals can act as a catalyst to trigger an explosion. </w:t>
      </w:r>
      <w:r w:rsidRPr="00AE530E">
        <w:rPr>
          <w:rFonts w:cs="Times New Roman"/>
          <w:color w:val="000000" w:themeColor="text1"/>
          <w:sz w:val="24"/>
          <w:szCs w:val="24"/>
        </w:rPr>
        <w:t xml:space="preserve">Magnetic stir bars can introduce iron into the solution. Avoid using metal spatulas. Use ceramic, Teflon, or wooden tools to handle such compounds. </w:t>
      </w:r>
    </w:p>
    <w:p w:rsidR="00AE530E" w:rsidRPr="007B3568" w:rsidRDefault="00AE530E" w:rsidP="00AE530E">
      <w:pPr>
        <w:spacing w:after="0" w:line="240" w:lineRule="auto"/>
        <w:rPr>
          <w:rFonts w:cs="Times New Roman"/>
          <w:b/>
          <w:bCs/>
          <w:color w:val="000000" w:themeColor="text1"/>
          <w:sz w:val="24"/>
          <w:szCs w:val="24"/>
        </w:rPr>
      </w:pPr>
      <w:r w:rsidRPr="007B3568">
        <w:rPr>
          <w:rFonts w:cs="Times New Roman"/>
          <w:b/>
          <w:bCs/>
          <w:i/>
          <w:color w:val="000000" w:themeColor="text1"/>
          <w:sz w:val="24"/>
          <w:szCs w:val="24"/>
        </w:rPr>
        <w:t>In-Situ</w:t>
      </w:r>
      <w:r w:rsidRPr="007B3568">
        <w:rPr>
          <w:rFonts w:cs="Times New Roman"/>
          <w:b/>
          <w:bCs/>
          <w:color w:val="000000" w:themeColor="text1"/>
          <w:sz w:val="24"/>
          <w:szCs w:val="24"/>
        </w:rPr>
        <w:t xml:space="preserve"> Techniques</w:t>
      </w:r>
    </w:p>
    <w:p w:rsidR="00AE530E" w:rsidRPr="00AE530E" w:rsidRDefault="00AE530E" w:rsidP="00AE530E">
      <w:pPr>
        <w:spacing w:after="0" w:line="240" w:lineRule="auto"/>
        <w:jc w:val="both"/>
        <w:rPr>
          <w:rFonts w:cs="Times New Roman"/>
          <w:color w:val="000000" w:themeColor="text1"/>
          <w:sz w:val="24"/>
          <w:szCs w:val="24"/>
        </w:rPr>
      </w:pPr>
      <w:r w:rsidRPr="00AE530E">
        <w:rPr>
          <w:rFonts w:cs="Times New Roman"/>
          <w:color w:val="000000" w:themeColor="text1"/>
          <w:sz w:val="24"/>
          <w:szCs w:val="24"/>
        </w:rPr>
        <w:t xml:space="preserve">To avoid the isolation of explosive compounds, consider generating reagents </w:t>
      </w:r>
      <w:r w:rsidRPr="00AE530E">
        <w:rPr>
          <w:rFonts w:cs="Times New Roman"/>
          <w:i/>
          <w:color w:val="000000" w:themeColor="text1"/>
          <w:sz w:val="24"/>
          <w:szCs w:val="24"/>
        </w:rPr>
        <w:t>in-situ</w:t>
      </w:r>
      <w:r w:rsidRPr="00AE530E">
        <w:rPr>
          <w:rFonts w:cs="Times New Roman"/>
          <w:color w:val="000000" w:themeColor="text1"/>
          <w:sz w:val="24"/>
          <w:szCs w:val="24"/>
        </w:rPr>
        <w:t xml:space="preserve">. For example, an </w:t>
      </w:r>
      <w:proofErr w:type="spellStart"/>
      <w:r w:rsidRPr="00AE530E">
        <w:rPr>
          <w:rFonts w:cs="Times New Roman"/>
          <w:color w:val="000000" w:themeColor="text1"/>
          <w:sz w:val="24"/>
          <w:szCs w:val="24"/>
        </w:rPr>
        <w:t>iodo</w:t>
      </w:r>
      <w:proofErr w:type="spellEnd"/>
      <w:r w:rsidRPr="00AE530E">
        <w:rPr>
          <w:rFonts w:cs="Times New Roman"/>
          <w:color w:val="000000" w:themeColor="text1"/>
          <w:sz w:val="24"/>
          <w:szCs w:val="24"/>
        </w:rPr>
        <w:t xml:space="preserve"> substitution reaction using aniline proceeds through a </w:t>
      </w:r>
      <w:proofErr w:type="spellStart"/>
      <w:r w:rsidRPr="00AE530E">
        <w:rPr>
          <w:rFonts w:cs="Times New Roman"/>
          <w:color w:val="000000" w:themeColor="text1"/>
          <w:sz w:val="24"/>
          <w:szCs w:val="24"/>
        </w:rPr>
        <w:t>diazonium</w:t>
      </w:r>
      <w:proofErr w:type="spellEnd"/>
      <w:r w:rsidRPr="00AE530E">
        <w:rPr>
          <w:rFonts w:cs="Times New Roman"/>
          <w:color w:val="000000" w:themeColor="text1"/>
          <w:sz w:val="24"/>
          <w:szCs w:val="24"/>
        </w:rPr>
        <w:t xml:space="preserve"> salt that is very dangerous when crystallized. To reduce the risk, the reaction can be performed </w:t>
      </w:r>
      <w:r w:rsidRPr="00AE530E">
        <w:rPr>
          <w:rFonts w:cs="Times New Roman"/>
          <w:i/>
          <w:color w:val="000000" w:themeColor="text1"/>
          <w:sz w:val="24"/>
          <w:szCs w:val="24"/>
        </w:rPr>
        <w:t>in-situ</w:t>
      </w:r>
      <w:r w:rsidRPr="00AE530E">
        <w:rPr>
          <w:rFonts w:cs="Times New Roman"/>
          <w:color w:val="000000" w:themeColor="text1"/>
          <w:sz w:val="24"/>
          <w:szCs w:val="24"/>
        </w:rPr>
        <w:t xml:space="preserve"> as a one-pot substitution.</w:t>
      </w:r>
    </w:p>
    <w:p w:rsidR="00AE530E" w:rsidRPr="00665822" w:rsidRDefault="00AE530E" w:rsidP="00AE530E">
      <w:pPr>
        <w:spacing w:after="0" w:line="240" w:lineRule="auto"/>
        <w:jc w:val="both"/>
        <w:rPr>
          <w:rFonts w:ascii="Verdana" w:hAnsi="Verdana" w:cs="Times New Roman"/>
        </w:rPr>
      </w:pPr>
    </w:p>
    <w:p w:rsidR="00AE530E" w:rsidRPr="00FD524E" w:rsidRDefault="00AE530E" w:rsidP="00AE530E">
      <w:pPr>
        <w:spacing w:after="0" w:line="240" w:lineRule="auto"/>
        <w:jc w:val="center"/>
        <w:rPr>
          <w:rFonts w:ascii="Verdana" w:hAnsi="Verdana" w:cs="Times New Roman"/>
          <w:sz w:val="24"/>
          <w:szCs w:val="24"/>
        </w:rPr>
      </w:pPr>
      <w:r w:rsidRPr="00FD524E">
        <w:rPr>
          <w:rFonts w:ascii="Verdana" w:hAnsi="Verdana"/>
        </w:rPr>
        <w:object w:dxaOrig="8872" w:dyaOrig="2141">
          <v:shape id="_x0000_i1028" type="#_x0000_t75" style="width:264.75pt;height:63.75pt" o:ole="">
            <v:imagedata r:id="rId21" o:title=""/>
          </v:shape>
          <o:OLEObject Type="Embed" ProgID="ChemDraw.Document.6.0" ShapeID="_x0000_i1028" DrawAspect="Content" ObjectID="_1686990990" r:id="rId22"/>
        </w:object>
      </w:r>
    </w:p>
    <w:p w:rsidR="00AE530E" w:rsidRPr="00E16C22" w:rsidRDefault="00AE530E" w:rsidP="00AE530E">
      <w:pPr>
        <w:autoSpaceDE w:val="0"/>
        <w:autoSpaceDN w:val="0"/>
        <w:adjustRightInd w:val="0"/>
        <w:spacing w:after="0" w:line="240" w:lineRule="auto"/>
        <w:rPr>
          <w:rFonts w:ascii="Verdana" w:hAnsi="Verdana" w:cs="Times New Roman"/>
        </w:rPr>
      </w:pPr>
    </w:p>
    <w:p w:rsidR="00AE530E" w:rsidRPr="007B3568" w:rsidRDefault="00AE530E" w:rsidP="00AE530E">
      <w:pPr>
        <w:pStyle w:val="Heading3"/>
        <w:rPr>
          <w:b/>
          <w:bCs/>
          <w:color w:val="000000" w:themeColor="text1"/>
        </w:rPr>
      </w:pPr>
      <w:r w:rsidRPr="007B3568">
        <w:rPr>
          <w:b/>
          <w:bCs/>
          <w:color w:val="000000" w:themeColor="text1"/>
        </w:rPr>
        <w:lastRenderedPageBreak/>
        <w:t>Incomplete Quenching</w:t>
      </w:r>
    </w:p>
    <w:p w:rsidR="00AE530E" w:rsidRDefault="00AE530E" w:rsidP="00AE530E">
      <w:pPr>
        <w:spacing w:after="0" w:line="240" w:lineRule="auto"/>
        <w:jc w:val="both"/>
        <w:rPr>
          <w:rFonts w:cs="Times New Roman"/>
          <w:color w:val="000000" w:themeColor="text1"/>
          <w:sz w:val="24"/>
          <w:szCs w:val="24"/>
        </w:rPr>
      </w:pPr>
      <w:r w:rsidRPr="00AE530E">
        <w:rPr>
          <w:rFonts w:cs="Times New Roman"/>
          <w:color w:val="000000" w:themeColor="text1"/>
          <w:sz w:val="24"/>
          <w:szCs w:val="24"/>
        </w:rPr>
        <w:t>Many explosions are due to incomplete quenching of reactions</w:t>
      </w:r>
      <w:r w:rsidR="006618DB">
        <w:rPr>
          <w:rFonts w:cs="Times New Roman"/>
          <w:color w:val="000000" w:themeColor="text1"/>
          <w:sz w:val="24"/>
          <w:szCs w:val="24"/>
        </w:rPr>
        <w:t xml:space="preserve"> (e.g. peroxides)</w:t>
      </w:r>
      <w:r w:rsidRPr="00AE530E">
        <w:rPr>
          <w:rFonts w:cs="Times New Roman"/>
          <w:color w:val="000000" w:themeColor="text1"/>
          <w:sz w:val="24"/>
          <w:szCs w:val="24"/>
        </w:rPr>
        <w:t xml:space="preserve">. Be sure to fully quench your reaction before proceeding to your workup. Make sure all interior surfaces including the glassware joints get adequate exposure to the quenching reagent. </w:t>
      </w:r>
    </w:p>
    <w:p w:rsidR="00AE530E" w:rsidRPr="00AE530E" w:rsidRDefault="00AE530E" w:rsidP="00AE530E">
      <w:pPr>
        <w:spacing w:after="0" w:line="240" w:lineRule="auto"/>
        <w:jc w:val="both"/>
        <w:rPr>
          <w:rFonts w:cs="Times New Roman"/>
          <w:color w:val="000000" w:themeColor="text1"/>
          <w:sz w:val="24"/>
          <w:szCs w:val="24"/>
        </w:rPr>
      </w:pPr>
    </w:p>
    <w:p w:rsidR="00AE530E" w:rsidRPr="007B3568" w:rsidRDefault="00AE530E" w:rsidP="00AE530E">
      <w:pPr>
        <w:pStyle w:val="Heading3"/>
        <w:rPr>
          <w:b/>
          <w:bCs/>
          <w:color w:val="000000" w:themeColor="text1"/>
        </w:rPr>
      </w:pPr>
      <w:r w:rsidRPr="007B3568">
        <w:rPr>
          <w:b/>
          <w:bCs/>
          <w:color w:val="000000" w:themeColor="text1"/>
        </w:rPr>
        <w:t>Incompatibilities</w:t>
      </w:r>
    </w:p>
    <w:p w:rsidR="00AE530E" w:rsidRDefault="00AE530E" w:rsidP="00AE530E">
      <w:pPr>
        <w:spacing w:after="0" w:line="240" w:lineRule="auto"/>
        <w:jc w:val="both"/>
        <w:rPr>
          <w:rFonts w:cs="Times New Roman"/>
          <w:color w:val="000000" w:themeColor="text1"/>
          <w:sz w:val="24"/>
          <w:szCs w:val="24"/>
        </w:rPr>
      </w:pPr>
      <w:proofErr w:type="spellStart"/>
      <w:r w:rsidRPr="00AE530E">
        <w:rPr>
          <w:rFonts w:cs="Times New Roman"/>
          <w:color w:val="000000" w:themeColor="text1"/>
          <w:sz w:val="24"/>
          <w:szCs w:val="24"/>
        </w:rPr>
        <w:t>Azides</w:t>
      </w:r>
      <w:proofErr w:type="spellEnd"/>
      <w:r w:rsidRPr="00AE530E">
        <w:rPr>
          <w:rFonts w:cs="Times New Roman"/>
          <w:color w:val="000000" w:themeColor="text1"/>
          <w:sz w:val="24"/>
          <w:szCs w:val="24"/>
        </w:rPr>
        <w:t xml:space="preserve"> and alkali metals (e.g., potassium, sodium, and lithium) form explosive compounds when mixed with halogenated solvents.</w:t>
      </w:r>
    </w:p>
    <w:p w:rsidR="00AE530E" w:rsidRPr="00AE530E" w:rsidRDefault="00AE530E" w:rsidP="00AE530E">
      <w:pPr>
        <w:spacing w:after="0" w:line="240" w:lineRule="auto"/>
        <w:jc w:val="both"/>
        <w:rPr>
          <w:rFonts w:cs="Times New Roman"/>
          <w:color w:val="000000" w:themeColor="text1"/>
          <w:sz w:val="24"/>
          <w:szCs w:val="24"/>
        </w:rPr>
      </w:pPr>
    </w:p>
    <w:p w:rsidR="00AE530E" w:rsidRPr="00E13AC5" w:rsidRDefault="00AE530E" w:rsidP="00AE530E">
      <w:pPr>
        <w:pStyle w:val="Heading3"/>
        <w:rPr>
          <w:b/>
          <w:bCs/>
          <w:color w:val="000000" w:themeColor="text1"/>
        </w:rPr>
      </w:pPr>
      <w:r w:rsidRPr="00E13AC5">
        <w:rPr>
          <w:b/>
          <w:bCs/>
          <w:color w:val="000000" w:themeColor="text1"/>
        </w:rPr>
        <w:t>Peroxides</w:t>
      </w:r>
    </w:p>
    <w:p w:rsidR="00AE530E" w:rsidRPr="00AE530E" w:rsidRDefault="00AE530E" w:rsidP="00AE530E">
      <w:pPr>
        <w:spacing w:after="0" w:line="240" w:lineRule="auto"/>
        <w:jc w:val="both"/>
        <w:rPr>
          <w:rFonts w:cs="Times New Roman"/>
          <w:color w:val="000000" w:themeColor="text1"/>
          <w:sz w:val="24"/>
          <w:szCs w:val="24"/>
        </w:rPr>
      </w:pPr>
      <w:r w:rsidRPr="00AE530E">
        <w:rPr>
          <w:rFonts w:cs="Times New Roman"/>
          <w:color w:val="000000" w:themeColor="text1"/>
          <w:sz w:val="24"/>
          <w:szCs w:val="24"/>
        </w:rPr>
        <w:t xml:space="preserve">Be careful when concentrating large amounts of peroxide-forming solvents. Check peroxide levels with peroxide test strips. </w:t>
      </w:r>
      <w:r w:rsidR="00F450D7" w:rsidRPr="00F450D7">
        <w:rPr>
          <w:rFonts w:cs="Times New Roman"/>
          <w:color w:val="000000" w:themeColor="text1"/>
          <w:sz w:val="24"/>
          <w:szCs w:val="24"/>
        </w:rPr>
        <w:t xml:space="preserve">See the </w:t>
      </w:r>
      <w:hyperlink r:id="rId23" w:history="1">
        <w:r w:rsidR="00F450D7" w:rsidRPr="00F450D7">
          <w:rPr>
            <w:rStyle w:val="Hyperlink"/>
            <w:rFonts w:cs="Times New Roman"/>
            <w:sz w:val="24"/>
            <w:szCs w:val="24"/>
          </w:rPr>
          <w:t>KAUST Laboratory Safety Manual</w:t>
        </w:r>
      </w:hyperlink>
      <w:r w:rsidRPr="00F450D7">
        <w:rPr>
          <w:rFonts w:cs="Times New Roman"/>
          <w:color w:val="000000" w:themeColor="text1"/>
          <w:sz w:val="24"/>
          <w:szCs w:val="24"/>
        </w:rPr>
        <w:t xml:space="preserve"> </w:t>
      </w:r>
      <w:r w:rsidR="00CB1215">
        <w:rPr>
          <w:rFonts w:cs="Times New Roman"/>
          <w:color w:val="000000" w:themeColor="text1"/>
          <w:sz w:val="24"/>
          <w:szCs w:val="24"/>
        </w:rPr>
        <w:t xml:space="preserve">for more information on peroxide forming chemicals. </w:t>
      </w:r>
      <w:r w:rsidR="005B1978">
        <w:rPr>
          <w:rFonts w:cs="Times New Roman"/>
          <w:color w:val="000000" w:themeColor="text1"/>
          <w:sz w:val="24"/>
          <w:szCs w:val="24"/>
        </w:rPr>
        <w:t>Be alert when adding hydrogen peroxide to organic solvents as this can create very unstable organic peroxides such as TATP (</w:t>
      </w:r>
      <w:proofErr w:type="spellStart"/>
      <w:r w:rsidR="005B1978">
        <w:rPr>
          <w:rFonts w:cs="Times New Roman"/>
          <w:color w:val="000000" w:themeColor="text1"/>
          <w:sz w:val="24"/>
          <w:szCs w:val="24"/>
        </w:rPr>
        <w:t>triacetone</w:t>
      </w:r>
      <w:proofErr w:type="spellEnd"/>
      <w:r w:rsidR="005B1978">
        <w:rPr>
          <w:rFonts w:cs="Times New Roman"/>
          <w:color w:val="000000" w:themeColor="text1"/>
          <w:sz w:val="24"/>
          <w:szCs w:val="24"/>
        </w:rPr>
        <w:t xml:space="preserve"> </w:t>
      </w:r>
      <w:proofErr w:type="spellStart"/>
      <w:r w:rsidR="005B1978">
        <w:rPr>
          <w:rFonts w:cs="Times New Roman"/>
          <w:color w:val="000000" w:themeColor="text1"/>
          <w:sz w:val="24"/>
          <w:szCs w:val="24"/>
        </w:rPr>
        <w:t>triperoxide</w:t>
      </w:r>
      <w:proofErr w:type="spellEnd"/>
      <w:r w:rsidR="005B1978">
        <w:rPr>
          <w:rFonts w:cs="Times New Roman"/>
          <w:color w:val="000000" w:themeColor="text1"/>
          <w:sz w:val="24"/>
          <w:szCs w:val="24"/>
        </w:rPr>
        <w:t>).</w:t>
      </w:r>
    </w:p>
    <w:p w:rsidR="00AE530E" w:rsidRPr="00AE530E" w:rsidRDefault="00AE530E" w:rsidP="00AE530E">
      <w:pPr>
        <w:pStyle w:val="Heading2"/>
        <w:rPr>
          <w:rFonts w:asciiTheme="majorHAnsi" w:hAnsiTheme="majorHAnsi"/>
          <w:color w:val="000000" w:themeColor="text1"/>
        </w:rPr>
      </w:pPr>
      <w:r w:rsidRPr="00AE530E">
        <w:rPr>
          <w:rFonts w:asciiTheme="majorHAnsi" w:hAnsiTheme="majorHAnsi"/>
          <w:color w:val="000000" w:themeColor="text1"/>
        </w:rPr>
        <w:t xml:space="preserve">Emergency Equipment and Procedures </w:t>
      </w:r>
    </w:p>
    <w:p w:rsidR="00AE530E" w:rsidRPr="00AE530E" w:rsidRDefault="00AE530E" w:rsidP="00AE530E">
      <w:pPr>
        <w:spacing w:after="0" w:line="240" w:lineRule="auto"/>
        <w:jc w:val="both"/>
        <w:rPr>
          <w:rFonts w:cs="Times New Roman"/>
          <w:color w:val="000000" w:themeColor="text1"/>
          <w:sz w:val="24"/>
          <w:szCs w:val="24"/>
        </w:rPr>
      </w:pPr>
      <w:r w:rsidRPr="00AE530E">
        <w:rPr>
          <w:rFonts w:cs="Times New Roman"/>
          <w:color w:val="000000" w:themeColor="text1"/>
          <w:sz w:val="24"/>
          <w:szCs w:val="24"/>
        </w:rPr>
        <w:t>Make sure emergency equipment such as eyewash stations, emergency showers, and fire extinguishers are readily accessible. Memorize where the fire alarms are and the number to call. Have an evacuation plan. Keep the SDS readily available to show emergency responders. Advance planning can save precious seconds and your life!</w:t>
      </w:r>
    </w:p>
    <w:p w:rsidR="00AE530E" w:rsidRPr="00AE530E" w:rsidRDefault="00AE530E" w:rsidP="00AE530E">
      <w:pPr>
        <w:pStyle w:val="Heading2"/>
        <w:rPr>
          <w:rFonts w:asciiTheme="majorHAnsi" w:hAnsiTheme="majorHAnsi"/>
          <w:color w:val="000000" w:themeColor="text1"/>
        </w:rPr>
      </w:pPr>
      <w:r w:rsidRPr="00AE530E">
        <w:rPr>
          <w:rFonts w:asciiTheme="majorHAnsi" w:hAnsiTheme="majorHAnsi"/>
          <w:color w:val="000000" w:themeColor="text1"/>
        </w:rPr>
        <w:t>Questions?</w:t>
      </w:r>
    </w:p>
    <w:p w:rsidR="00AE530E" w:rsidRPr="00AE530E" w:rsidRDefault="00AE530E" w:rsidP="00AE530E">
      <w:pPr>
        <w:spacing w:line="240" w:lineRule="auto"/>
        <w:contextualSpacing/>
        <w:rPr>
          <w:rFonts w:cs="Times New Roman"/>
          <w:color w:val="000000" w:themeColor="text1"/>
          <w:sz w:val="24"/>
          <w:szCs w:val="24"/>
        </w:rPr>
      </w:pPr>
      <w:r w:rsidRPr="00AE530E">
        <w:rPr>
          <w:rFonts w:cs="Times New Roman"/>
          <w:color w:val="000000" w:themeColor="text1"/>
          <w:sz w:val="24"/>
          <w:szCs w:val="24"/>
        </w:rPr>
        <w:t>Contact the Research Safety Team</w:t>
      </w:r>
      <w:r w:rsidR="00F450D7">
        <w:rPr>
          <w:rFonts w:cs="Times New Roman"/>
          <w:color w:val="000000" w:themeColor="text1"/>
          <w:sz w:val="24"/>
          <w:szCs w:val="24"/>
        </w:rPr>
        <w:t xml:space="preserve"> (</w:t>
      </w:r>
      <w:hyperlink r:id="rId24" w:history="1">
        <w:r w:rsidR="00F450D7" w:rsidRPr="00EB278E">
          <w:rPr>
            <w:rStyle w:val="Hyperlink"/>
            <w:rFonts w:cs="Times New Roman"/>
            <w:sz w:val="24"/>
            <w:szCs w:val="24"/>
          </w:rPr>
          <w:t>researchsafety@kaust.edu.sa</w:t>
        </w:r>
      </w:hyperlink>
      <w:r w:rsidR="00F450D7">
        <w:rPr>
          <w:rFonts w:cs="Times New Roman"/>
          <w:color w:val="000000" w:themeColor="text1"/>
          <w:sz w:val="24"/>
          <w:szCs w:val="24"/>
        </w:rPr>
        <w:t>).</w:t>
      </w:r>
      <w:r w:rsidRPr="00AE530E">
        <w:rPr>
          <w:rFonts w:cs="Times New Roman"/>
          <w:color w:val="000000" w:themeColor="text1"/>
          <w:sz w:val="24"/>
          <w:szCs w:val="24"/>
        </w:rPr>
        <w:t xml:space="preserve"> </w:t>
      </w:r>
    </w:p>
    <w:p w:rsidR="00AE530E" w:rsidRPr="00FD524E" w:rsidRDefault="00AE530E" w:rsidP="00AE530E">
      <w:pPr>
        <w:spacing w:after="0" w:line="240" w:lineRule="auto"/>
        <w:rPr>
          <w:rFonts w:ascii="Verdana" w:hAnsi="Verdana" w:cs="Times New Roman"/>
          <w:sz w:val="24"/>
          <w:szCs w:val="24"/>
        </w:rPr>
      </w:pPr>
    </w:p>
    <w:p w:rsidR="00AE530E" w:rsidRPr="00AE530E" w:rsidRDefault="00AE530E" w:rsidP="00AE530E">
      <w:pPr>
        <w:spacing w:after="0" w:line="240" w:lineRule="auto"/>
        <w:rPr>
          <w:rFonts w:cs="Times New Roman"/>
          <w:b/>
          <w:sz w:val="24"/>
          <w:szCs w:val="24"/>
        </w:rPr>
      </w:pPr>
      <w:r w:rsidRPr="00AE530E">
        <w:rPr>
          <w:rFonts w:cs="Times New Roman"/>
          <w:b/>
          <w:sz w:val="24"/>
          <w:szCs w:val="24"/>
        </w:rPr>
        <w:t>References:</w:t>
      </w:r>
    </w:p>
    <w:p w:rsidR="00AE530E" w:rsidRPr="00AE530E" w:rsidRDefault="00AE530E" w:rsidP="00AE530E">
      <w:pPr>
        <w:spacing w:after="120" w:line="240" w:lineRule="auto"/>
        <w:rPr>
          <w:rFonts w:cs="Times New Roman"/>
          <w:b/>
          <w:sz w:val="24"/>
          <w:szCs w:val="24"/>
        </w:rPr>
      </w:pPr>
      <w:r w:rsidRPr="00AE530E">
        <w:rPr>
          <w:rFonts w:cs="Times New Roman"/>
          <w:sz w:val="24"/>
          <w:szCs w:val="24"/>
        </w:rPr>
        <w:t xml:space="preserve">Pitt, M. J. In </w:t>
      </w:r>
      <w:proofErr w:type="spellStart"/>
      <w:r w:rsidRPr="00AE530E">
        <w:rPr>
          <w:rFonts w:cs="Times New Roman"/>
          <w:i/>
          <w:sz w:val="24"/>
          <w:szCs w:val="24"/>
        </w:rPr>
        <w:t>Bretherick’s</w:t>
      </w:r>
      <w:proofErr w:type="spellEnd"/>
      <w:r w:rsidRPr="00AE530E">
        <w:rPr>
          <w:rFonts w:cs="Times New Roman"/>
          <w:i/>
          <w:sz w:val="24"/>
          <w:szCs w:val="24"/>
        </w:rPr>
        <w:t xml:space="preserve"> Handbook of Reactive Chemical Hazards</w:t>
      </w:r>
      <w:r w:rsidRPr="00AE530E">
        <w:rPr>
          <w:rFonts w:cs="Times New Roman"/>
          <w:sz w:val="24"/>
          <w:szCs w:val="24"/>
        </w:rPr>
        <w:t xml:space="preserve"> 6</w:t>
      </w:r>
      <w:r w:rsidRPr="00AE530E">
        <w:rPr>
          <w:rFonts w:cs="Times New Roman"/>
          <w:sz w:val="24"/>
          <w:szCs w:val="24"/>
          <w:vertAlign w:val="superscript"/>
        </w:rPr>
        <w:t>th</w:t>
      </w:r>
      <w:r w:rsidRPr="00AE530E">
        <w:rPr>
          <w:rFonts w:cs="Times New Roman"/>
          <w:sz w:val="24"/>
          <w:szCs w:val="24"/>
        </w:rPr>
        <w:t xml:space="preserve"> ed.; </w:t>
      </w:r>
      <w:proofErr w:type="spellStart"/>
      <w:r w:rsidRPr="00AE530E">
        <w:rPr>
          <w:rFonts w:cs="Times New Roman"/>
          <w:sz w:val="24"/>
          <w:szCs w:val="24"/>
        </w:rPr>
        <w:t>Urben</w:t>
      </w:r>
      <w:proofErr w:type="spellEnd"/>
      <w:r w:rsidRPr="00AE530E">
        <w:rPr>
          <w:rFonts w:cs="Times New Roman"/>
          <w:sz w:val="24"/>
          <w:szCs w:val="24"/>
        </w:rPr>
        <w:t>, P. G. Ed.; Butterworth-Heinemann Ltd: Oxford, 1999; Vol. 2</w:t>
      </w:r>
    </w:p>
    <w:p w:rsidR="00AE530E" w:rsidRPr="00AE530E" w:rsidRDefault="00AE530E" w:rsidP="00AE530E">
      <w:pPr>
        <w:spacing w:after="120" w:line="240" w:lineRule="auto"/>
        <w:rPr>
          <w:rFonts w:cs="Times New Roman"/>
          <w:sz w:val="24"/>
          <w:szCs w:val="24"/>
        </w:rPr>
      </w:pPr>
      <w:r w:rsidRPr="00AE530E">
        <w:rPr>
          <w:rFonts w:cs="Times New Roman"/>
          <w:sz w:val="24"/>
          <w:szCs w:val="24"/>
        </w:rPr>
        <w:t xml:space="preserve">Agrawal, J. P.; Hodgson, R. D. </w:t>
      </w:r>
      <w:r w:rsidRPr="00AE530E">
        <w:rPr>
          <w:rFonts w:cs="Times New Roman"/>
          <w:i/>
          <w:sz w:val="24"/>
          <w:szCs w:val="24"/>
        </w:rPr>
        <w:t>Organic Chemistry of Explosives</w:t>
      </w:r>
      <w:r w:rsidRPr="00AE530E">
        <w:rPr>
          <w:rFonts w:cs="Times New Roman"/>
          <w:sz w:val="24"/>
          <w:szCs w:val="24"/>
        </w:rPr>
        <w:t>, John Wiley &amp; Sons: West Sussex, 2007.</w:t>
      </w:r>
    </w:p>
    <w:p w:rsidR="00AE530E" w:rsidRPr="00AE530E" w:rsidRDefault="00AE530E" w:rsidP="00AE530E">
      <w:pPr>
        <w:spacing w:after="120" w:line="240" w:lineRule="auto"/>
        <w:rPr>
          <w:rFonts w:cs="Times New Roman"/>
          <w:sz w:val="24"/>
          <w:szCs w:val="24"/>
        </w:rPr>
      </w:pPr>
      <w:r w:rsidRPr="00AE530E">
        <w:rPr>
          <w:rFonts w:cs="Times New Roman"/>
          <w:sz w:val="24"/>
          <w:szCs w:val="24"/>
        </w:rPr>
        <w:t xml:space="preserve">Davis, T.L. </w:t>
      </w:r>
      <w:r w:rsidRPr="00AE530E">
        <w:rPr>
          <w:rFonts w:cs="Times New Roman"/>
          <w:i/>
          <w:sz w:val="24"/>
          <w:szCs w:val="24"/>
        </w:rPr>
        <w:t>The Chemistry of Powder &amp; Explosives</w:t>
      </w:r>
      <w:r w:rsidR="00F450D7">
        <w:rPr>
          <w:rFonts w:cs="Times New Roman"/>
          <w:sz w:val="24"/>
          <w:szCs w:val="24"/>
        </w:rPr>
        <w:t xml:space="preserve">, </w:t>
      </w:r>
      <w:proofErr w:type="spellStart"/>
      <w:r w:rsidR="00F450D7">
        <w:rPr>
          <w:rFonts w:cs="Times New Roman"/>
          <w:sz w:val="24"/>
          <w:szCs w:val="24"/>
        </w:rPr>
        <w:t>Angriff</w:t>
      </w:r>
      <w:proofErr w:type="spellEnd"/>
      <w:r w:rsidR="00F450D7">
        <w:rPr>
          <w:rFonts w:cs="Times New Roman"/>
          <w:sz w:val="24"/>
          <w:szCs w:val="24"/>
        </w:rPr>
        <w:t xml:space="preserve"> Press: Hollywood, </w:t>
      </w:r>
      <w:r w:rsidRPr="00AE530E">
        <w:rPr>
          <w:rFonts w:cs="Times New Roman"/>
          <w:sz w:val="24"/>
          <w:szCs w:val="24"/>
        </w:rPr>
        <w:t>CA, 1943.</w:t>
      </w:r>
    </w:p>
    <w:p w:rsidR="00AE530E" w:rsidRPr="00AE530E" w:rsidRDefault="00AE530E" w:rsidP="00AE530E">
      <w:pPr>
        <w:spacing w:after="120" w:line="240" w:lineRule="auto"/>
        <w:rPr>
          <w:rFonts w:cs="Times New Roman"/>
          <w:sz w:val="24"/>
          <w:szCs w:val="24"/>
        </w:rPr>
      </w:pPr>
      <w:r w:rsidRPr="00AE530E">
        <w:rPr>
          <w:rFonts w:cs="Times New Roman"/>
          <w:sz w:val="24"/>
          <w:szCs w:val="24"/>
        </w:rPr>
        <w:t xml:space="preserve">Kolb, H. C.; Finn, H. C.; </w:t>
      </w:r>
      <w:proofErr w:type="spellStart"/>
      <w:r w:rsidRPr="00AE530E">
        <w:rPr>
          <w:rFonts w:cs="Times New Roman"/>
          <w:sz w:val="24"/>
          <w:szCs w:val="24"/>
        </w:rPr>
        <w:t>Sharpless</w:t>
      </w:r>
      <w:proofErr w:type="spellEnd"/>
      <w:r w:rsidRPr="00AE530E">
        <w:rPr>
          <w:rFonts w:cs="Times New Roman"/>
          <w:sz w:val="24"/>
          <w:szCs w:val="24"/>
        </w:rPr>
        <w:t xml:space="preserve">, B.  </w:t>
      </w:r>
      <w:proofErr w:type="spellStart"/>
      <w:r w:rsidRPr="00AE530E">
        <w:rPr>
          <w:rFonts w:cs="Times New Roman"/>
          <w:i/>
          <w:sz w:val="24"/>
          <w:szCs w:val="24"/>
        </w:rPr>
        <w:t>Angew</w:t>
      </w:r>
      <w:proofErr w:type="spellEnd"/>
      <w:r w:rsidRPr="00AE530E">
        <w:rPr>
          <w:rFonts w:cs="Times New Roman"/>
          <w:i/>
          <w:sz w:val="24"/>
          <w:szCs w:val="24"/>
        </w:rPr>
        <w:t>. Chem. Int. Ed</w:t>
      </w:r>
      <w:r w:rsidRPr="00AE530E">
        <w:rPr>
          <w:rFonts w:cs="Times New Roman"/>
          <w:sz w:val="24"/>
          <w:szCs w:val="24"/>
        </w:rPr>
        <w:t xml:space="preserve">.  </w:t>
      </w:r>
      <w:r w:rsidRPr="00AE530E">
        <w:rPr>
          <w:rFonts w:cs="Times New Roman"/>
          <w:b/>
          <w:sz w:val="24"/>
          <w:szCs w:val="24"/>
        </w:rPr>
        <w:t>2001</w:t>
      </w:r>
      <w:r w:rsidRPr="00AE530E">
        <w:rPr>
          <w:rFonts w:cs="Times New Roman"/>
          <w:sz w:val="24"/>
          <w:szCs w:val="24"/>
        </w:rPr>
        <w:t xml:space="preserve">, </w:t>
      </w:r>
      <w:r w:rsidRPr="00AE530E">
        <w:rPr>
          <w:rFonts w:cs="Times New Roman"/>
          <w:i/>
          <w:sz w:val="24"/>
          <w:szCs w:val="24"/>
        </w:rPr>
        <w:t>40</w:t>
      </w:r>
      <w:r w:rsidRPr="00AE530E">
        <w:rPr>
          <w:rFonts w:cs="Times New Roman"/>
          <w:sz w:val="24"/>
          <w:szCs w:val="24"/>
        </w:rPr>
        <w:t>, 2004-2012.</w:t>
      </w:r>
    </w:p>
    <w:p w:rsidR="00AE530E" w:rsidRPr="00AE530E" w:rsidRDefault="00AE530E" w:rsidP="00AE530E">
      <w:pPr>
        <w:spacing w:after="120" w:line="240" w:lineRule="auto"/>
        <w:rPr>
          <w:rFonts w:cs="Times New Roman"/>
          <w:sz w:val="24"/>
          <w:szCs w:val="24"/>
        </w:rPr>
      </w:pPr>
      <w:proofErr w:type="spellStart"/>
      <w:r w:rsidRPr="00AE530E">
        <w:rPr>
          <w:rFonts w:cs="Times New Roman"/>
          <w:sz w:val="24"/>
          <w:szCs w:val="24"/>
        </w:rPr>
        <w:t>Furniss</w:t>
      </w:r>
      <w:proofErr w:type="spellEnd"/>
      <w:r w:rsidRPr="00AE530E">
        <w:rPr>
          <w:rFonts w:cs="Times New Roman"/>
          <w:sz w:val="24"/>
          <w:szCs w:val="24"/>
        </w:rPr>
        <w:t xml:space="preserve">, B. S.; Hannaford, A. J.; Smith, P. W. G.; Tatchell, A. R.  </w:t>
      </w:r>
      <w:r w:rsidRPr="00AE530E">
        <w:rPr>
          <w:rFonts w:cs="Times New Roman"/>
          <w:i/>
          <w:sz w:val="24"/>
          <w:szCs w:val="24"/>
        </w:rPr>
        <w:t>Vogel’s Textbook of Practical Organic Chemistry,</w:t>
      </w:r>
      <w:r w:rsidRPr="00AE530E">
        <w:rPr>
          <w:rFonts w:cs="Times New Roman"/>
          <w:sz w:val="24"/>
          <w:szCs w:val="24"/>
        </w:rPr>
        <w:t xml:space="preserve"> 5</w:t>
      </w:r>
      <w:r w:rsidRPr="00AE530E">
        <w:rPr>
          <w:rFonts w:cs="Times New Roman"/>
          <w:sz w:val="24"/>
          <w:szCs w:val="24"/>
          <w:vertAlign w:val="superscript"/>
        </w:rPr>
        <w:t>th</w:t>
      </w:r>
      <w:r w:rsidRPr="00AE530E">
        <w:rPr>
          <w:rFonts w:cs="Times New Roman"/>
          <w:sz w:val="24"/>
          <w:szCs w:val="24"/>
        </w:rPr>
        <w:t xml:space="preserve"> ed.; Longman Group UK Limited: Singapore, 1989.</w:t>
      </w:r>
    </w:p>
    <w:p w:rsidR="00AE530E" w:rsidRPr="00AE530E" w:rsidRDefault="00AE530E" w:rsidP="00AE530E">
      <w:pPr>
        <w:spacing w:after="0" w:line="240" w:lineRule="auto"/>
        <w:rPr>
          <w:rFonts w:eastAsiaTheme="majorEastAsia" w:cstheme="majorBidi"/>
          <w:color w:val="000000" w:themeColor="text1"/>
          <w:spacing w:val="5"/>
          <w:kern w:val="28"/>
          <w:sz w:val="24"/>
          <w:szCs w:val="24"/>
        </w:rPr>
      </w:pPr>
      <w:r w:rsidRPr="00AE530E">
        <w:rPr>
          <w:sz w:val="24"/>
          <w:szCs w:val="24"/>
        </w:rPr>
        <w:t xml:space="preserve">NRC (National Research Council). </w:t>
      </w:r>
      <w:r w:rsidRPr="00AE530E">
        <w:rPr>
          <w:i/>
          <w:sz w:val="24"/>
          <w:szCs w:val="24"/>
        </w:rPr>
        <w:t>Prudent Practices in the Laboratory. Handling and Management of Chemical Hazards</w:t>
      </w:r>
      <w:r w:rsidRPr="00AE530E">
        <w:rPr>
          <w:sz w:val="24"/>
          <w:szCs w:val="24"/>
        </w:rPr>
        <w:t>. National Academy Press: Washington, DC, 2011.</w:t>
      </w:r>
    </w:p>
    <w:p w:rsidR="00BD561F" w:rsidRPr="00090159" w:rsidRDefault="00BD561F" w:rsidP="00A574E8">
      <w:pPr>
        <w:pStyle w:val="Default"/>
        <w:spacing w:beforeLines="60" w:before="144" w:afterLines="60" w:after="144"/>
        <w:rPr>
          <w:rFonts w:ascii="Arial Narrow" w:hAnsi="Arial Narrow"/>
          <w:sz w:val="22"/>
          <w:szCs w:val="22"/>
        </w:rPr>
      </w:pPr>
    </w:p>
    <w:p w:rsidR="00BD561F" w:rsidRPr="00090159" w:rsidRDefault="00BD561F" w:rsidP="00A574E8">
      <w:pPr>
        <w:pStyle w:val="Default"/>
        <w:spacing w:beforeLines="60" w:before="144" w:afterLines="60" w:after="144"/>
        <w:rPr>
          <w:rFonts w:ascii="Arial Narrow" w:hAnsi="Arial Narrow"/>
          <w:sz w:val="22"/>
          <w:szCs w:val="22"/>
        </w:rPr>
      </w:pPr>
    </w:p>
    <w:p w:rsidR="00A574E8" w:rsidRPr="00090159" w:rsidRDefault="00A574E8" w:rsidP="00A574E8">
      <w:pPr>
        <w:pStyle w:val="Default"/>
        <w:spacing w:beforeLines="60" w:before="144" w:afterLines="60" w:after="144"/>
        <w:rPr>
          <w:rFonts w:ascii="Arial Narrow" w:hAnsi="Arial Narrow"/>
          <w:sz w:val="22"/>
          <w:szCs w:val="22"/>
        </w:rPr>
      </w:pPr>
    </w:p>
    <w:p w:rsidR="00A574E8" w:rsidRPr="00090159" w:rsidRDefault="00A574E8" w:rsidP="00A574E8">
      <w:pPr>
        <w:pStyle w:val="Default"/>
        <w:spacing w:beforeLines="60" w:before="144" w:afterLines="60" w:after="144"/>
        <w:rPr>
          <w:rFonts w:ascii="Arial Narrow" w:hAnsi="Arial Narrow"/>
          <w:sz w:val="22"/>
          <w:szCs w:val="22"/>
        </w:rPr>
      </w:pPr>
    </w:p>
    <w:p w:rsidR="009B4460" w:rsidRPr="00DC4316" w:rsidRDefault="009B4460" w:rsidP="005B1978">
      <w:pPr>
        <w:pStyle w:val="Default"/>
        <w:rPr>
          <w:rFonts w:ascii="Arial Narrow" w:hAnsi="Arial Narrow"/>
          <w:sz w:val="22"/>
          <w:szCs w:val="22"/>
        </w:rPr>
      </w:pPr>
    </w:p>
    <w:sectPr w:rsidR="009B4460" w:rsidRPr="00DC4316" w:rsidSect="00241AF9">
      <w:headerReference w:type="default" r:id="rId25"/>
      <w:footerReference w:type="default" r:id="rId26"/>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C7C" w:rsidRDefault="00B32C7C" w:rsidP="0065577A">
      <w:pPr>
        <w:spacing w:after="0" w:line="240" w:lineRule="auto"/>
      </w:pPr>
      <w:r>
        <w:separator/>
      </w:r>
    </w:p>
  </w:endnote>
  <w:endnote w:type="continuationSeparator" w:id="0">
    <w:p w:rsidR="00B32C7C" w:rsidRDefault="00B32C7C" w:rsidP="0065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6255"/>
      <w:docPartObj>
        <w:docPartGallery w:val="Page Numbers (Bottom of Page)"/>
        <w:docPartUnique/>
      </w:docPartObj>
    </w:sdtPr>
    <w:sdtEndPr/>
    <w:sdtContent>
      <w:p w:rsidR="00D12A55" w:rsidRDefault="00A574E8" w:rsidP="002938E8">
        <w:pPr>
          <w:pStyle w:val="Footer"/>
        </w:pPr>
        <w:r>
          <w:rPr>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3175" t="0" r="4445" b="25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2B7E" w:rsidRDefault="00A574E8">
                              <w:pPr>
                                <w:jc w:val="center"/>
                                <w:rPr>
                                  <w:szCs w:val="72"/>
                                </w:rPr>
                              </w:pPr>
                              <w:r>
                                <w:fldChar w:fldCharType="begin"/>
                              </w:r>
                              <w:r>
                                <w:instrText xml:space="preserve"> PAGE    \* MERGEFORMAT </w:instrText>
                              </w:r>
                              <w:r>
                                <w:fldChar w:fldCharType="separate"/>
                              </w:r>
                              <w:r w:rsidR="00196604" w:rsidRPr="00196604">
                                <w:rPr>
                                  <w:noProof/>
                                  <w:color w:val="FFFFFF" w:themeColor="background1"/>
                                  <w:sz w:val="72"/>
                                  <w:szCs w:val="72"/>
                                </w:rPr>
                                <w:t>7</w:t>
                              </w:r>
                              <w:r>
                                <w:rPr>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" adj="21600" fillcolor="#def2d8 [824]" stroked="f">
                  <v:textbox>
                    <w:txbxContent>
                      <w:p w:rsidR="00C22B7E" w:rsidRDefault="00A574E8">
                        <w:pPr>
                          <w:jc w:val="center"/>
                          <w:rPr>
                            <w:szCs w:val="72"/>
                          </w:rPr>
                        </w:pPr>
                        <w:r>
                          <w:fldChar w:fldCharType="begin"/>
                        </w:r>
                        <w:r>
                          <w:instrText xml:space="preserve"> PAGE    \* MERGEFORMAT </w:instrText>
                        </w:r>
                        <w:r>
                          <w:fldChar w:fldCharType="separate"/>
                        </w:r>
                        <w:r w:rsidR="00196604" w:rsidRPr="00196604">
                          <w:rPr>
                            <w:noProof/>
                            <w:color w:val="FFFFFF" w:themeColor="background1"/>
                            <w:sz w:val="72"/>
                            <w:szCs w:val="72"/>
                          </w:rPr>
                          <w:t>7</w:t>
                        </w:r>
                        <w:r>
                          <w:rPr>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C7C" w:rsidRDefault="00B32C7C" w:rsidP="0065577A">
      <w:pPr>
        <w:spacing w:after="0" w:line="240" w:lineRule="auto"/>
      </w:pPr>
      <w:r>
        <w:separator/>
      </w:r>
    </w:p>
  </w:footnote>
  <w:footnote w:type="continuationSeparator" w:id="0">
    <w:p w:rsidR="00B32C7C" w:rsidRDefault="00B32C7C" w:rsidP="00655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738" w:rsidRDefault="00EA0738" w:rsidP="00AD10DE">
    <w:pPr>
      <w:pStyle w:val="Header"/>
      <w:rPr>
        <w:rFonts w:asciiTheme="minorBidi" w:hAnsiTheme="minorBidi"/>
        <w:sz w:val="16"/>
        <w:szCs w:val="16"/>
      </w:rPr>
    </w:pPr>
  </w:p>
  <w:p w:rsidR="00D12A55" w:rsidRDefault="004A2271" w:rsidP="00EA0738">
    <w:pPr>
      <w:pStyle w:val="Header"/>
      <w:rPr>
        <w:rFonts w:asciiTheme="minorBidi" w:hAnsiTheme="minorBidi"/>
        <w:sz w:val="16"/>
        <w:szCs w:val="16"/>
      </w:rPr>
    </w:pPr>
    <w:r>
      <w:rPr>
        <w:rFonts w:asciiTheme="minorBidi" w:hAnsiTheme="minorBidi"/>
        <w:sz w:val="16"/>
        <w:szCs w:val="16"/>
      </w:rPr>
      <w:t>SAFETY GUIDANCE DOCUMENT</w:t>
    </w:r>
    <w:r w:rsidR="00D12A55">
      <w:rPr>
        <w:rFonts w:asciiTheme="minorBidi" w:hAnsiTheme="minorBidi"/>
        <w:sz w:val="16"/>
        <w:szCs w:val="16"/>
      </w:rPr>
      <w:t xml:space="preserve">                                                                                                              </w:t>
    </w:r>
    <w:r w:rsidR="00E31895">
      <w:rPr>
        <w:rFonts w:asciiTheme="minorBidi" w:hAnsiTheme="minorBidi"/>
        <w:sz w:val="16"/>
        <w:szCs w:val="16"/>
      </w:rPr>
      <w:t xml:space="preserve">   </w:t>
    </w:r>
    <w:r w:rsidR="00D12A55">
      <w:rPr>
        <w:rFonts w:asciiTheme="minorBidi" w:hAnsiTheme="minorBidi"/>
        <w:sz w:val="16"/>
        <w:szCs w:val="16"/>
      </w:rPr>
      <w:t xml:space="preserve"> </w:t>
    </w:r>
    <w:r>
      <w:rPr>
        <w:rFonts w:asciiTheme="minorBidi" w:hAnsiTheme="minorBidi"/>
        <w:sz w:val="16"/>
        <w:szCs w:val="16"/>
      </w:rPr>
      <w:t xml:space="preserve">         </w:t>
    </w:r>
    <w:r w:rsidR="008957C6">
      <w:rPr>
        <w:rFonts w:asciiTheme="minorBidi" w:hAnsiTheme="minorBidi"/>
        <w:sz w:val="16"/>
        <w:szCs w:val="16"/>
      </w:rPr>
      <w:t xml:space="preserve">MAY 2, </w:t>
    </w:r>
    <w:r w:rsidR="00AA73CC">
      <w:rPr>
        <w:rFonts w:asciiTheme="minorBidi" w:hAnsiTheme="minorBidi"/>
        <w:sz w:val="16"/>
        <w:szCs w:val="16"/>
      </w:rPr>
      <w:t>201</w:t>
    </w:r>
    <w:r w:rsidR="00AE530E">
      <w:rPr>
        <w:rFonts w:asciiTheme="minorBidi" w:hAnsiTheme="minorBidi"/>
        <w:sz w:val="16"/>
        <w:szCs w:val="16"/>
      </w:rPr>
      <w:t>9</w:t>
    </w:r>
  </w:p>
  <w:p w:rsidR="004A2271" w:rsidRPr="002938E8" w:rsidRDefault="004A2271" w:rsidP="00EA0738">
    <w:pPr>
      <w:pStyle w:val="Header"/>
      <w:rPr>
        <w:rFonts w:asciiTheme="minorBidi" w:hAnsiTheme="minorBidi"/>
        <w:sz w:val="16"/>
        <w:szCs w:val="16"/>
      </w:rPr>
    </w:pPr>
    <w:r>
      <w:rPr>
        <w:rFonts w:asciiTheme="minorBidi" w:hAnsiTheme="minorBidi"/>
        <w:sz w:val="16"/>
        <w:szCs w:val="16"/>
      </w:rPr>
      <w:t>POTENTIALLY EXPLOSIVE EXPERIMENTS (C13)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37F"/>
    <w:multiLevelType w:val="hybridMultilevel"/>
    <w:tmpl w:val="2280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B7473"/>
    <w:multiLevelType w:val="hybridMultilevel"/>
    <w:tmpl w:val="AC4A2B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EB4EC5"/>
    <w:multiLevelType w:val="hybridMultilevel"/>
    <w:tmpl w:val="5FB2AF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662F96"/>
    <w:multiLevelType w:val="multilevel"/>
    <w:tmpl w:val="9CBE934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02F2853"/>
    <w:multiLevelType w:val="hybridMultilevel"/>
    <w:tmpl w:val="4BF0C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CB6349"/>
    <w:multiLevelType w:val="hybridMultilevel"/>
    <w:tmpl w:val="656C6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8711AA"/>
    <w:multiLevelType w:val="hybridMultilevel"/>
    <w:tmpl w:val="D820D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7D3041"/>
    <w:multiLevelType w:val="hybridMultilevel"/>
    <w:tmpl w:val="C7FC95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2D2D1B4"/>
    <w:multiLevelType w:val="hybridMultilevel"/>
    <w:tmpl w:val="DBB8CAC8"/>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E8B06C0"/>
    <w:multiLevelType w:val="hybridMultilevel"/>
    <w:tmpl w:val="4F1081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423A53"/>
    <w:multiLevelType w:val="hybridMultilevel"/>
    <w:tmpl w:val="A38CD1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45D51CF"/>
    <w:multiLevelType w:val="hybridMultilevel"/>
    <w:tmpl w:val="727E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7"/>
  </w:num>
  <w:num w:numId="5">
    <w:abstractNumId w:val="6"/>
  </w:num>
  <w:num w:numId="6">
    <w:abstractNumId w:val="4"/>
  </w:num>
  <w:num w:numId="7">
    <w:abstractNumId w:val="10"/>
  </w:num>
  <w:num w:numId="8">
    <w:abstractNumId w:val="2"/>
  </w:num>
  <w:num w:numId="9">
    <w:abstractNumId w:val="9"/>
  </w:num>
  <w:num w:numId="10">
    <w:abstractNumId w:val="5"/>
  </w:num>
  <w:num w:numId="11">
    <w:abstractNumId w:val="11"/>
  </w:num>
  <w:num w:numId="1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7A"/>
    <w:rsid w:val="00034C5F"/>
    <w:rsid w:val="00063AAA"/>
    <w:rsid w:val="00090159"/>
    <w:rsid w:val="000A3F05"/>
    <w:rsid w:val="000A5B69"/>
    <w:rsid w:val="000C644F"/>
    <w:rsid w:val="000E0752"/>
    <w:rsid w:val="000E204A"/>
    <w:rsid w:val="000E42AC"/>
    <w:rsid w:val="000E72E6"/>
    <w:rsid w:val="000F39B9"/>
    <w:rsid w:val="000F7D76"/>
    <w:rsid w:val="001228BF"/>
    <w:rsid w:val="0012480A"/>
    <w:rsid w:val="00126812"/>
    <w:rsid w:val="00127959"/>
    <w:rsid w:val="00172687"/>
    <w:rsid w:val="00187AD7"/>
    <w:rsid w:val="00196604"/>
    <w:rsid w:val="001A608F"/>
    <w:rsid w:val="001F2C8F"/>
    <w:rsid w:val="00204757"/>
    <w:rsid w:val="0021131E"/>
    <w:rsid w:val="00212E1E"/>
    <w:rsid w:val="00241AF9"/>
    <w:rsid w:val="00255EA0"/>
    <w:rsid w:val="00262520"/>
    <w:rsid w:val="002938E8"/>
    <w:rsid w:val="002A47CB"/>
    <w:rsid w:val="002D0E89"/>
    <w:rsid w:val="002E102E"/>
    <w:rsid w:val="002E6A4B"/>
    <w:rsid w:val="002F3E6E"/>
    <w:rsid w:val="003155F2"/>
    <w:rsid w:val="003462BF"/>
    <w:rsid w:val="003B5C56"/>
    <w:rsid w:val="003D22F8"/>
    <w:rsid w:val="003F2A1A"/>
    <w:rsid w:val="003F49FC"/>
    <w:rsid w:val="003F566D"/>
    <w:rsid w:val="003F6B4A"/>
    <w:rsid w:val="0042240C"/>
    <w:rsid w:val="00432F46"/>
    <w:rsid w:val="004A0A8E"/>
    <w:rsid w:val="004A2271"/>
    <w:rsid w:val="004A4FBC"/>
    <w:rsid w:val="004B6186"/>
    <w:rsid w:val="004C13C0"/>
    <w:rsid w:val="004C3315"/>
    <w:rsid w:val="004D2526"/>
    <w:rsid w:val="004D6EE8"/>
    <w:rsid w:val="004E034F"/>
    <w:rsid w:val="004F5247"/>
    <w:rsid w:val="005101C9"/>
    <w:rsid w:val="00522EF7"/>
    <w:rsid w:val="00532302"/>
    <w:rsid w:val="00532931"/>
    <w:rsid w:val="005449F1"/>
    <w:rsid w:val="00583991"/>
    <w:rsid w:val="00586E5C"/>
    <w:rsid w:val="005B1978"/>
    <w:rsid w:val="005B4AA9"/>
    <w:rsid w:val="005B6889"/>
    <w:rsid w:val="005D1895"/>
    <w:rsid w:val="005D2E1F"/>
    <w:rsid w:val="00612C67"/>
    <w:rsid w:val="006240C9"/>
    <w:rsid w:val="00643276"/>
    <w:rsid w:val="00651A75"/>
    <w:rsid w:val="0065577A"/>
    <w:rsid w:val="006618DB"/>
    <w:rsid w:val="0068577E"/>
    <w:rsid w:val="0069086E"/>
    <w:rsid w:val="006C2A88"/>
    <w:rsid w:val="006D3F2B"/>
    <w:rsid w:val="00700C5C"/>
    <w:rsid w:val="0071612B"/>
    <w:rsid w:val="0073036E"/>
    <w:rsid w:val="007733A7"/>
    <w:rsid w:val="0079139D"/>
    <w:rsid w:val="007916C2"/>
    <w:rsid w:val="00792972"/>
    <w:rsid w:val="007957C3"/>
    <w:rsid w:val="007B3568"/>
    <w:rsid w:val="00854570"/>
    <w:rsid w:val="00866ED9"/>
    <w:rsid w:val="00877C2E"/>
    <w:rsid w:val="008957C6"/>
    <w:rsid w:val="008A15BC"/>
    <w:rsid w:val="008E1204"/>
    <w:rsid w:val="008F177A"/>
    <w:rsid w:val="00902A50"/>
    <w:rsid w:val="0092404B"/>
    <w:rsid w:val="00924DD7"/>
    <w:rsid w:val="00945862"/>
    <w:rsid w:val="00957AF5"/>
    <w:rsid w:val="00974839"/>
    <w:rsid w:val="00981AA9"/>
    <w:rsid w:val="009B4460"/>
    <w:rsid w:val="009B68D9"/>
    <w:rsid w:val="009D219E"/>
    <w:rsid w:val="009E26A0"/>
    <w:rsid w:val="009F4C19"/>
    <w:rsid w:val="00A10C14"/>
    <w:rsid w:val="00A1481F"/>
    <w:rsid w:val="00A27629"/>
    <w:rsid w:val="00A574E8"/>
    <w:rsid w:val="00A71776"/>
    <w:rsid w:val="00A83DBB"/>
    <w:rsid w:val="00AA34DB"/>
    <w:rsid w:val="00AA73CC"/>
    <w:rsid w:val="00AB4DEA"/>
    <w:rsid w:val="00AD10DE"/>
    <w:rsid w:val="00AD78DE"/>
    <w:rsid w:val="00AE530E"/>
    <w:rsid w:val="00B051C3"/>
    <w:rsid w:val="00B32C7C"/>
    <w:rsid w:val="00BA6079"/>
    <w:rsid w:val="00BD1AA9"/>
    <w:rsid w:val="00BD561F"/>
    <w:rsid w:val="00BD7A09"/>
    <w:rsid w:val="00BE02EB"/>
    <w:rsid w:val="00BE620E"/>
    <w:rsid w:val="00C15C5E"/>
    <w:rsid w:val="00C15EF1"/>
    <w:rsid w:val="00C21166"/>
    <w:rsid w:val="00C22B7E"/>
    <w:rsid w:val="00C90AD2"/>
    <w:rsid w:val="00CA043B"/>
    <w:rsid w:val="00CB1215"/>
    <w:rsid w:val="00CF2105"/>
    <w:rsid w:val="00D11BC5"/>
    <w:rsid w:val="00D12A55"/>
    <w:rsid w:val="00D23469"/>
    <w:rsid w:val="00D3128D"/>
    <w:rsid w:val="00D6610B"/>
    <w:rsid w:val="00D669D7"/>
    <w:rsid w:val="00D971C4"/>
    <w:rsid w:val="00DB745F"/>
    <w:rsid w:val="00DC4316"/>
    <w:rsid w:val="00DE5AFC"/>
    <w:rsid w:val="00DF38C8"/>
    <w:rsid w:val="00DF4D42"/>
    <w:rsid w:val="00E13AC5"/>
    <w:rsid w:val="00E31895"/>
    <w:rsid w:val="00E435D5"/>
    <w:rsid w:val="00E7254C"/>
    <w:rsid w:val="00E72D13"/>
    <w:rsid w:val="00E77124"/>
    <w:rsid w:val="00EA0738"/>
    <w:rsid w:val="00ED4D5D"/>
    <w:rsid w:val="00F3752D"/>
    <w:rsid w:val="00F450D7"/>
    <w:rsid w:val="00F5556F"/>
    <w:rsid w:val="00F578E3"/>
    <w:rsid w:val="00F91D56"/>
    <w:rsid w:val="00FC13E6"/>
    <w:rsid w:val="00FF36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paragraph" w:styleId="Heading1">
    <w:name w:val="heading 1"/>
    <w:basedOn w:val="Normal"/>
    <w:link w:val="Heading1Char"/>
    <w:uiPriority w:val="9"/>
    <w:qFormat/>
    <w:rsid w:val="004C3315"/>
    <w:pPr>
      <w:spacing w:before="100" w:beforeAutospacing="1" w:after="100" w:afterAutospacing="1" w:line="240" w:lineRule="auto"/>
      <w:outlineLvl w:val="0"/>
    </w:pPr>
    <w:rPr>
      <w:rFonts w:ascii="Times New Roman" w:eastAsia="Times New Roman" w:hAnsi="Times New Roman" w:cs="Times New Roman"/>
      <w:b/>
      <w:bCs/>
      <w:color w:val="000099"/>
      <w:kern w:val="36"/>
      <w:sz w:val="27"/>
      <w:szCs w:val="27"/>
    </w:rPr>
  </w:style>
  <w:style w:type="paragraph" w:styleId="Heading2">
    <w:name w:val="heading 2"/>
    <w:basedOn w:val="Normal"/>
    <w:link w:val="Heading2Char"/>
    <w:uiPriority w:val="9"/>
    <w:qFormat/>
    <w:rsid w:val="004C3315"/>
    <w:pPr>
      <w:spacing w:before="100" w:beforeAutospacing="1" w:after="100" w:afterAutospacing="1" w:line="240" w:lineRule="auto"/>
      <w:outlineLvl w:val="1"/>
    </w:pPr>
    <w:rPr>
      <w:rFonts w:ascii="Times New Roman" w:eastAsia="Times New Roman" w:hAnsi="Times New Roman" w:cs="Times New Roman"/>
      <w:b/>
      <w:bCs/>
      <w:color w:val="000099"/>
      <w:sz w:val="24"/>
      <w:szCs w:val="24"/>
    </w:rPr>
  </w:style>
  <w:style w:type="paragraph" w:styleId="Heading3">
    <w:name w:val="heading 3"/>
    <w:basedOn w:val="Normal"/>
    <w:next w:val="Normal"/>
    <w:link w:val="Heading3Char"/>
    <w:uiPriority w:val="9"/>
    <w:semiHidden/>
    <w:unhideWhenUsed/>
    <w:qFormat/>
    <w:rsid w:val="00AE530E"/>
    <w:pPr>
      <w:keepNext/>
      <w:keepLines/>
      <w:spacing w:before="40" w:after="0"/>
      <w:outlineLvl w:val="2"/>
    </w:pPr>
    <w:rPr>
      <w:rFonts w:eastAsiaTheme="majorEastAsia" w:cstheme="majorBidi"/>
      <w:color w:val="07366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0F6FC6" w:themeColor="accent1"/>
      </w:pBdr>
      <w:spacing w:after="300" w:line="240" w:lineRule="auto"/>
      <w:contextualSpacing/>
    </w:pPr>
    <w:rPr>
      <w:rFonts w:eastAsiaTheme="majorEastAsia"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03485B" w:themeColor="text2" w:themeShade="BF"/>
      <w:spacing w:val="5"/>
      <w:kern w:val="28"/>
      <w:sz w:val="52"/>
      <w:szCs w:val="52"/>
    </w:rPr>
  </w:style>
  <w:style w:type="paragraph" w:styleId="NormalWeb">
    <w:name w:val="Normal (Web)"/>
    <w:basedOn w:val="Normal"/>
    <w:uiPriority w:val="99"/>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unhideWhenUsed/>
    <w:rsid w:val="00063AAA"/>
    <w:rPr>
      <w:strike w:val="0"/>
      <w:dstrike w:val="0"/>
      <w:color w:val="C7040E"/>
      <w:u w:val="none"/>
      <w:effect w:val="none"/>
    </w:rPr>
  </w:style>
  <w:style w:type="table" w:styleId="TableGrid">
    <w:name w:val="Table Grid"/>
    <w:basedOn w:val="TableNormal"/>
    <w:uiPriority w:val="59"/>
    <w:rsid w:val="003F5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1776"/>
    <w:rPr>
      <w:b/>
      <w:bCs/>
    </w:rPr>
  </w:style>
  <w:style w:type="paragraph" w:styleId="NormalIndent">
    <w:name w:val="Normal Indent"/>
    <w:basedOn w:val="Normal"/>
    <w:rsid w:val="00F5556F"/>
    <w:pPr>
      <w:tabs>
        <w:tab w:val="left" w:pos="720"/>
        <w:tab w:val="left" w:pos="1440"/>
      </w:tabs>
      <w:spacing w:before="120" w:after="120" w:line="240" w:lineRule="auto"/>
      <w:ind w:left="720"/>
      <w:jc w:val="both"/>
    </w:pPr>
    <w:rPr>
      <w:rFonts w:ascii="Arial" w:eastAsia="Times New Roman" w:hAnsi="Arial" w:cs="Times New Roman"/>
      <w:sz w:val="22"/>
    </w:rPr>
  </w:style>
  <w:style w:type="character" w:customStyle="1" w:styleId="Heading1Char">
    <w:name w:val="Heading 1 Char"/>
    <w:basedOn w:val="DefaultParagraphFont"/>
    <w:link w:val="Heading1"/>
    <w:uiPriority w:val="9"/>
    <w:rsid w:val="004C3315"/>
    <w:rPr>
      <w:rFonts w:ascii="Times New Roman" w:eastAsia="Times New Roman" w:hAnsi="Times New Roman" w:cs="Times New Roman"/>
      <w:b/>
      <w:bCs/>
      <w:color w:val="000099"/>
      <w:kern w:val="36"/>
      <w:sz w:val="27"/>
      <w:szCs w:val="27"/>
    </w:rPr>
  </w:style>
  <w:style w:type="character" w:customStyle="1" w:styleId="Heading2Char">
    <w:name w:val="Heading 2 Char"/>
    <w:basedOn w:val="DefaultParagraphFont"/>
    <w:link w:val="Heading2"/>
    <w:uiPriority w:val="9"/>
    <w:rsid w:val="004C3315"/>
    <w:rPr>
      <w:rFonts w:ascii="Times New Roman" w:eastAsia="Times New Roman" w:hAnsi="Times New Roman" w:cs="Times New Roman"/>
      <w:b/>
      <w:bCs/>
      <w:color w:val="000099"/>
      <w:sz w:val="24"/>
      <w:szCs w:val="24"/>
    </w:rPr>
  </w:style>
  <w:style w:type="character" w:customStyle="1" w:styleId="bodyb1">
    <w:name w:val="bodyb1"/>
    <w:basedOn w:val="DefaultParagraphFont"/>
    <w:rsid w:val="004C3315"/>
    <w:rPr>
      <w:rFonts w:ascii="Verdana" w:hAnsi="Verdana" w:hint="default"/>
      <w:b/>
      <w:bCs/>
      <w:color w:val="000000"/>
      <w:sz w:val="20"/>
      <w:szCs w:val="20"/>
    </w:rPr>
  </w:style>
  <w:style w:type="paragraph" w:customStyle="1" w:styleId="bodyb">
    <w:name w:val="bodyb"/>
    <w:basedOn w:val="Normal"/>
    <w:rsid w:val="004C3315"/>
    <w:pPr>
      <w:spacing w:before="100" w:beforeAutospacing="1" w:after="100" w:afterAutospacing="1" w:line="240" w:lineRule="auto"/>
    </w:pPr>
    <w:rPr>
      <w:rFonts w:ascii="Verdana" w:eastAsia="Times New Roman" w:hAnsi="Verdana" w:cs="Times New Roman"/>
      <w:b/>
      <w:bCs/>
      <w:color w:val="000000"/>
    </w:rPr>
  </w:style>
  <w:style w:type="character" w:customStyle="1" w:styleId="body1">
    <w:name w:val="body1"/>
    <w:basedOn w:val="DefaultParagraphFont"/>
    <w:rsid w:val="004C3315"/>
    <w:rPr>
      <w:rFonts w:ascii="Verdana" w:hAnsi="Verdana" w:hint="default"/>
      <w:b w:val="0"/>
      <w:bCs w:val="0"/>
      <w:color w:val="000000"/>
      <w:sz w:val="20"/>
      <w:szCs w:val="20"/>
    </w:rPr>
  </w:style>
  <w:style w:type="paragraph" w:customStyle="1" w:styleId="section2">
    <w:name w:val="section2"/>
    <w:basedOn w:val="Normal"/>
    <w:rsid w:val="004C3315"/>
    <w:pPr>
      <w:spacing w:before="100" w:beforeAutospacing="1" w:after="100" w:afterAutospacing="1" w:line="240" w:lineRule="auto"/>
    </w:pPr>
    <w:rPr>
      <w:rFonts w:ascii="Verdana" w:eastAsia="Times New Roman" w:hAnsi="Verdana" w:cs="Times New Roman"/>
      <w:b/>
      <w:bCs/>
      <w:color w:val="996633"/>
    </w:rPr>
  </w:style>
  <w:style w:type="paragraph" w:customStyle="1" w:styleId="Default">
    <w:name w:val="Default"/>
    <w:rsid w:val="009B44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AE530E"/>
    <w:rPr>
      <w:rFonts w:eastAsiaTheme="majorEastAsia" w:cstheme="majorBidi"/>
      <w:color w:val="073662"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paragraph" w:styleId="Heading1">
    <w:name w:val="heading 1"/>
    <w:basedOn w:val="Normal"/>
    <w:link w:val="Heading1Char"/>
    <w:uiPriority w:val="9"/>
    <w:qFormat/>
    <w:rsid w:val="004C3315"/>
    <w:pPr>
      <w:spacing w:before="100" w:beforeAutospacing="1" w:after="100" w:afterAutospacing="1" w:line="240" w:lineRule="auto"/>
      <w:outlineLvl w:val="0"/>
    </w:pPr>
    <w:rPr>
      <w:rFonts w:ascii="Times New Roman" w:eastAsia="Times New Roman" w:hAnsi="Times New Roman" w:cs="Times New Roman"/>
      <w:b/>
      <w:bCs/>
      <w:color w:val="000099"/>
      <w:kern w:val="36"/>
      <w:sz w:val="27"/>
      <w:szCs w:val="27"/>
    </w:rPr>
  </w:style>
  <w:style w:type="paragraph" w:styleId="Heading2">
    <w:name w:val="heading 2"/>
    <w:basedOn w:val="Normal"/>
    <w:link w:val="Heading2Char"/>
    <w:uiPriority w:val="9"/>
    <w:qFormat/>
    <w:rsid w:val="004C3315"/>
    <w:pPr>
      <w:spacing w:before="100" w:beforeAutospacing="1" w:after="100" w:afterAutospacing="1" w:line="240" w:lineRule="auto"/>
      <w:outlineLvl w:val="1"/>
    </w:pPr>
    <w:rPr>
      <w:rFonts w:ascii="Times New Roman" w:eastAsia="Times New Roman" w:hAnsi="Times New Roman" w:cs="Times New Roman"/>
      <w:b/>
      <w:bCs/>
      <w:color w:val="000099"/>
      <w:sz w:val="24"/>
      <w:szCs w:val="24"/>
    </w:rPr>
  </w:style>
  <w:style w:type="paragraph" w:styleId="Heading3">
    <w:name w:val="heading 3"/>
    <w:basedOn w:val="Normal"/>
    <w:next w:val="Normal"/>
    <w:link w:val="Heading3Char"/>
    <w:uiPriority w:val="9"/>
    <w:semiHidden/>
    <w:unhideWhenUsed/>
    <w:qFormat/>
    <w:rsid w:val="00AE530E"/>
    <w:pPr>
      <w:keepNext/>
      <w:keepLines/>
      <w:spacing w:before="40" w:after="0"/>
      <w:outlineLvl w:val="2"/>
    </w:pPr>
    <w:rPr>
      <w:rFonts w:eastAsiaTheme="majorEastAsia" w:cstheme="majorBidi"/>
      <w:color w:val="07366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0F6FC6" w:themeColor="accent1"/>
      </w:pBdr>
      <w:spacing w:after="300" w:line="240" w:lineRule="auto"/>
      <w:contextualSpacing/>
    </w:pPr>
    <w:rPr>
      <w:rFonts w:eastAsiaTheme="majorEastAsia"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03485B" w:themeColor="text2" w:themeShade="BF"/>
      <w:spacing w:val="5"/>
      <w:kern w:val="28"/>
      <w:sz w:val="52"/>
      <w:szCs w:val="52"/>
    </w:rPr>
  </w:style>
  <w:style w:type="paragraph" w:styleId="NormalWeb">
    <w:name w:val="Normal (Web)"/>
    <w:basedOn w:val="Normal"/>
    <w:uiPriority w:val="99"/>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unhideWhenUsed/>
    <w:rsid w:val="00063AAA"/>
    <w:rPr>
      <w:strike w:val="0"/>
      <w:dstrike w:val="0"/>
      <w:color w:val="C7040E"/>
      <w:u w:val="none"/>
      <w:effect w:val="none"/>
    </w:rPr>
  </w:style>
  <w:style w:type="table" w:styleId="TableGrid">
    <w:name w:val="Table Grid"/>
    <w:basedOn w:val="TableNormal"/>
    <w:uiPriority w:val="59"/>
    <w:rsid w:val="003F5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1776"/>
    <w:rPr>
      <w:b/>
      <w:bCs/>
    </w:rPr>
  </w:style>
  <w:style w:type="paragraph" w:styleId="NormalIndent">
    <w:name w:val="Normal Indent"/>
    <w:basedOn w:val="Normal"/>
    <w:rsid w:val="00F5556F"/>
    <w:pPr>
      <w:tabs>
        <w:tab w:val="left" w:pos="720"/>
        <w:tab w:val="left" w:pos="1440"/>
      </w:tabs>
      <w:spacing w:before="120" w:after="120" w:line="240" w:lineRule="auto"/>
      <w:ind w:left="720"/>
      <w:jc w:val="both"/>
    </w:pPr>
    <w:rPr>
      <w:rFonts w:ascii="Arial" w:eastAsia="Times New Roman" w:hAnsi="Arial" w:cs="Times New Roman"/>
      <w:sz w:val="22"/>
    </w:rPr>
  </w:style>
  <w:style w:type="character" w:customStyle="1" w:styleId="Heading1Char">
    <w:name w:val="Heading 1 Char"/>
    <w:basedOn w:val="DefaultParagraphFont"/>
    <w:link w:val="Heading1"/>
    <w:uiPriority w:val="9"/>
    <w:rsid w:val="004C3315"/>
    <w:rPr>
      <w:rFonts w:ascii="Times New Roman" w:eastAsia="Times New Roman" w:hAnsi="Times New Roman" w:cs="Times New Roman"/>
      <w:b/>
      <w:bCs/>
      <w:color w:val="000099"/>
      <w:kern w:val="36"/>
      <w:sz w:val="27"/>
      <w:szCs w:val="27"/>
    </w:rPr>
  </w:style>
  <w:style w:type="character" w:customStyle="1" w:styleId="Heading2Char">
    <w:name w:val="Heading 2 Char"/>
    <w:basedOn w:val="DefaultParagraphFont"/>
    <w:link w:val="Heading2"/>
    <w:uiPriority w:val="9"/>
    <w:rsid w:val="004C3315"/>
    <w:rPr>
      <w:rFonts w:ascii="Times New Roman" w:eastAsia="Times New Roman" w:hAnsi="Times New Roman" w:cs="Times New Roman"/>
      <w:b/>
      <w:bCs/>
      <w:color w:val="000099"/>
      <w:sz w:val="24"/>
      <w:szCs w:val="24"/>
    </w:rPr>
  </w:style>
  <w:style w:type="character" w:customStyle="1" w:styleId="bodyb1">
    <w:name w:val="bodyb1"/>
    <w:basedOn w:val="DefaultParagraphFont"/>
    <w:rsid w:val="004C3315"/>
    <w:rPr>
      <w:rFonts w:ascii="Verdana" w:hAnsi="Verdana" w:hint="default"/>
      <w:b/>
      <w:bCs/>
      <w:color w:val="000000"/>
      <w:sz w:val="20"/>
      <w:szCs w:val="20"/>
    </w:rPr>
  </w:style>
  <w:style w:type="paragraph" w:customStyle="1" w:styleId="bodyb">
    <w:name w:val="bodyb"/>
    <w:basedOn w:val="Normal"/>
    <w:rsid w:val="004C3315"/>
    <w:pPr>
      <w:spacing w:before="100" w:beforeAutospacing="1" w:after="100" w:afterAutospacing="1" w:line="240" w:lineRule="auto"/>
    </w:pPr>
    <w:rPr>
      <w:rFonts w:ascii="Verdana" w:eastAsia="Times New Roman" w:hAnsi="Verdana" w:cs="Times New Roman"/>
      <w:b/>
      <w:bCs/>
      <w:color w:val="000000"/>
    </w:rPr>
  </w:style>
  <w:style w:type="character" w:customStyle="1" w:styleId="body1">
    <w:name w:val="body1"/>
    <w:basedOn w:val="DefaultParagraphFont"/>
    <w:rsid w:val="004C3315"/>
    <w:rPr>
      <w:rFonts w:ascii="Verdana" w:hAnsi="Verdana" w:hint="default"/>
      <w:b w:val="0"/>
      <w:bCs w:val="0"/>
      <w:color w:val="000000"/>
      <w:sz w:val="20"/>
      <w:szCs w:val="20"/>
    </w:rPr>
  </w:style>
  <w:style w:type="paragraph" w:customStyle="1" w:styleId="section2">
    <w:name w:val="section2"/>
    <w:basedOn w:val="Normal"/>
    <w:rsid w:val="004C3315"/>
    <w:pPr>
      <w:spacing w:before="100" w:beforeAutospacing="1" w:after="100" w:afterAutospacing="1" w:line="240" w:lineRule="auto"/>
    </w:pPr>
    <w:rPr>
      <w:rFonts w:ascii="Verdana" w:eastAsia="Times New Roman" w:hAnsi="Verdana" w:cs="Times New Roman"/>
      <w:b/>
      <w:bCs/>
      <w:color w:val="996633"/>
    </w:rPr>
  </w:style>
  <w:style w:type="paragraph" w:customStyle="1" w:styleId="Default">
    <w:name w:val="Default"/>
    <w:rsid w:val="009B44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AE530E"/>
    <w:rPr>
      <w:rFonts w:eastAsiaTheme="majorEastAsia" w:cstheme="majorBidi"/>
      <w:color w:val="073662"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4310">
      <w:bodyDiv w:val="1"/>
      <w:marLeft w:val="0"/>
      <w:marRight w:val="0"/>
      <w:marTop w:val="0"/>
      <w:marBottom w:val="0"/>
      <w:divBdr>
        <w:top w:val="none" w:sz="0" w:space="0" w:color="auto"/>
        <w:left w:val="none" w:sz="0" w:space="0" w:color="auto"/>
        <w:bottom w:val="none" w:sz="0" w:space="0" w:color="auto"/>
        <w:right w:val="none" w:sz="0" w:space="0" w:color="auto"/>
      </w:divBdr>
      <w:divsChild>
        <w:div w:id="1680237645">
          <w:marLeft w:val="0"/>
          <w:marRight w:val="0"/>
          <w:marTop w:val="0"/>
          <w:marBottom w:val="0"/>
          <w:divBdr>
            <w:top w:val="none" w:sz="0" w:space="0" w:color="auto"/>
            <w:left w:val="none" w:sz="0" w:space="0" w:color="auto"/>
            <w:bottom w:val="none" w:sz="0" w:space="0" w:color="auto"/>
            <w:right w:val="none" w:sz="0" w:space="0" w:color="auto"/>
          </w:divBdr>
          <w:divsChild>
            <w:div w:id="1308363059">
              <w:marLeft w:val="0"/>
              <w:marRight w:val="0"/>
              <w:marTop w:val="0"/>
              <w:marBottom w:val="0"/>
              <w:divBdr>
                <w:top w:val="none" w:sz="0" w:space="0" w:color="auto"/>
                <w:left w:val="none" w:sz="0" w:space="0" w:color="auto"/>
                <w:bottom w:val="none" w:sz="0" w:space="0" w:color="auto"/>
                <w:right w:val="none" w:sz="0" w:space="0" w:color="auto"/>
              </w:divBdr>
              <w:divsChild>
                <w:div w:id="2132238928">
                  <w:marLeft w:val="150"/>
                  <w:marRight w:val="150"/>
                  <w:marTop w:val="0"/>
                  <w:marBottom w:val="0"/>
                  <w:divBdr>
                    <w:top w:val="single" w:sz="6" w:space="0" w:color="C1C1C1"/>
                    <w:left w:val="single" w:sz="6" w:space="15" w:color="C1C1C1"/>
                    <w:bottom w:val="single" w:sz="6" w:space="15" w:color="C1C1C1"/>
                    <w:right w:val="single" w:sz="6" w:space="15" w:color="C1C1C1"/>
                  </w:divBdr>
                </w:div>
              </w:divsChild>
            </w:div>
          </w:divsChild>
        </w:div>
      </w:divsChild>
    </w:div>
    <w:div w:id="440536829">
      <w:bodyDiv w:val="1"/>
      <w:marLeft w:val="0"/>
      <w:marRight w:val="0"/>
      <w:marTop w:val="0"/>
      <w:marBottom w:val="0"/>
      <w:divBdr>
        <w:top w:val="none" w:sz="0" w:space="0" w:color="auto"/>
        <w:left w:val="none" w:sz="0" w:space="0" w:color="auto"/>
        <w:bottom w:val="none" w:sz="0" w:space="0" w:color="auto"/>
        <w:right w:val="none" w:sz="0" w:space="0" w:color="auto"/>
      </w:divBdr>
      <w:divsChild>
        <w:div w:id="1418791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390797">
      <w:bodyDiv w:val="1"/>
      <w:marLeft w:val="0"/>
      <w:marRight w:val="0"/>
      <w:marTop w:val="0"/>
      <w:marBottom w:val="150"/>
      <w:divBdr>
        <w:top w:val="none" w:sz="0" w:space="0" w:color="auto"/>
        <w:left w:val="none" w:sz="0" w:space="0" w:color="auto"/>
        <w:bottom w:val="none" w:sz="0" w:space="0" w:color="auto"/>
        <w:right w:val="none" w:sz="0" w:space="0" w:color="auto"/>
      </w:divBdr>
      <w:divsChild>
        <w:div w:id="939991353">
          <w:marLeft w:val="0"/>
          <w:marRight w:val="0"/>
          <w:marTop w:val="0"/>
          <w:marBottom w:val="0"/>
          <w:divBdr>
            <w:top w:val="none" w:sz="0" w:space="0" w:color="auto"/>
            <w:left w:val="none" w:sz="0" w:space="0" w:color="auto"/>
            <w:bottom w:val="none" w:sz="0" w:space="0" w:color="auto"/>
            <w:right w:val="none" w:sz="0" w:space="0" w:color="auto"/>
          </w:divBdr>
          <w:divsChild>
            <w:div w:id="824399799">
              <w:marLeft w:val="0"/>
              <w:marRight w:val="0"/>
              <w:marTop w:val="0"/>
              <w:marBottom w:val="0"/>
              <w:divBdr>
                <w:top w:val="none" w:sz="0" w:space="0" w:color="auto"/>
                <w:left w:val="none" w:sz="0" w:space="0" w:color="auto"/>
                <w:bottom w:val="none" w:sz="0" w:space="0" w:color="auto"/>
                <w:right w:val="none" w:sz="0" w:space="0" w:color="auto"/>
              </w:divBdr>
              <w:divsChild>
                <w:div w:id="1902903314">
                  <w:marLeft w:val="0"/>
                  <w:marRight w:val="0"/>
                  <w:marTop w:val="0"/>
                  <w:marBottom w:val="0"/>
                  <w:divBdr>
                    <w:top w:val="none" w:sz="0" w:space="0" w:color="auto"/>
                    <w:left w:val="none" w:sz="0" w:space="0" w:color="auto"/>
                    <w:bottom w:val="none" w:sz="0" w:space="0" w:color="auto"/>
                    <w:right w:val="none" w:sz="0" w:space="0" w:color="auto"/>
                  </w:divBdr>
                  <w:divsChild>
                    <w:div w:id="1128552077">
                      <w:marLeft w:val="0"/>
                      <w:marRight w:val="0"/>
                      <w:marTop w:val="0"/>
                      <w:marBottom w:val="0"/>
                      <w:divBdr>
                        <w:top w:val="none" w:sz="0" w:space="0" w:color="auto"/>
                        <w:left w:val="none" w:sz="0" w:space="0" w:color="auto"/>
                        <w:bottom w:val="none" w:sz="0" w:space="0" w:color="auto"/>
                        <w:right w:val="none" w:sz="0" w:space="0" w:color="auto"/>
                      </w:divBdr>
                      <w:divsChild>
                        <w:div w:id="1618752257">
                          <w:marLeft w:val="0"/>
                          <w:marRight w:val="0"/>
                          <w:marTop w:val="0"/>
                          <w:marBottom w:val="0"/>
                          <w:divBdr>
                            <w:top w:val="none" w:sz="0" w:space="0" w:color="auto"/>
                            <w:left w:val="none" w:sz="0" w:space="0" w:color="auto"/>
                            <w:bottom w:val="none" w:sz="0" w:space="0" w:color="auto"/>
                            <w:right w:val="none" w:sz="0" w:space="0" w:color="auto"/>
                          </w:divBdr>
                          <w:divsChild>
                            <w:div w:id="14823097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653945">
      <w:bodyDiv w:val="1"/>
      <w:marLeft w:val="0"/>
      <w:marRight w:val="0"/>
      <w:marTop w:val="0"/>
      <w:marBottom w:val="0"/>
      <w:divBdr>
        <w:top w:val="none" w:sz="0" w:space="0" w:color="auto"/>
        <w:left w:val="none" w:sz="0" w:space="0" w:color="auto"/>
        <w:bottom w:val="none" w:sz="0" w:space="0" w:color="auto"/>
        <w:right w:val="none" w:sz="0" w:space="0" w:color="auto"/>
      </w:divBdr>
      <w:divsChild>
        <w:div w:id="2010256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046242">
      <w:bodyDiv w:val="1"/>
      <w:marLeft w:val="0"/>
      <w:marRight w:val="0"/>
      <w:marTop w:val="0"/>
      <w:marBottom w:val="0"/>
      <w:divBdr>
        <w:top w:val="none" w:sz="0" w:space="0" w:color="auto"/>
        <w:left w:val="none" w:sz="0" w:space="0" w:color="auto"/>
        <w:bottom w:val="none" w:sz="0" w:space="0" w:color="auto"/>
        <w:right w:val="none" w:sz="0" w:space="0" w:color="auto"/>
      </w:divBdr>
    </w:div>
    <w:div w:id="863976582">
      <w:bodyDiv w:val="1"/>
      <w:marLeft w:val="0"/>
      <w:marRight w:val="0"/>
      <w:marTop w:val="0"/>
      <w:marBottom w:val="0"/>
      <w:divBdr>
        <w:top w:val="none" w:sz="0" w:space="0" w:color="auto"/>
        <w:left w:val="none" w:sz="0" w:space="0" w:color="auto"/>
        <w:bottom w:val="none" w:sz="0" w:space="0" w:color="auto"/>
        <w:right w:val="none" w:sz="0" w:space="0" w:color="auto"/>
      </w:divBdr>
      <w:divsChild>
        <w:div w:id="1039011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900338">
      <w:bodyDiv w:val="1"/>
      <w:marLeft w:val="0"/>
      <w:marRight w:val="0"/>
      <w:marTop w:val="0"/>
      <w:marBottom w:val="0"/>
      <w:divBdr>
        <w:top w:val="none" w:sz="0" w:space="0" w:color="auto"/>
        <w:left w:val="none" w:sz="0" w:space="0" w:color="auto"/>
        <w:bottom w:val="none" w:sz="0" w:space="0" w:color="auto"/>
        <w:right w:val="none" w:sz="0" w:space="0" w:color="auto"/>
      </w:divBdr>
      <w:divsChild>
        <w:div w:id="367875627">
          <w:marLeft w:val="0"/>
          <w:marRight w:val="0"/>
          <w:marTop w:val="0"/>
          <w:marBottom w:val="0"/>
          <w:divBdr>
            <w:top w:val="none" w:sz="0" w:space="0" w:color="auto"/>
            <w:left w:val="none" w:sz="0" w:space="0" w:color="auto"/>
            <w:bottom w:val="none" w:sz="0" w:space="0" w:color="auto"/>
            <w:right w:val="none" w:sz="0" w:space="0" w:color="auto"/>
          </w:divBdr>
        </w:div>
      </w:divsChild>
    </w:div>
    <w:div w:id="1189221900">
      <w:bodyDiv w:val="1"/>
      <w:marLeft w:val="0"/>
      <w:marRight w:val="0"/>
      <w:marTop w:val="0"/>
      <w:marBottom w:val="0"/>
      <w:divBdr>
        <w:top w:val="none" w:sz="0" w:space="0" w:color="auto"/>
        <w:left w:val="none" w:sz="0" w:space="0" w:color="auto"/>
        <w:bottom w:val="none" w:sz="0" w:space="0" w:color="auto"/>
        <w:right w:val="none" w:sz="0" w:space="0" w:color="auto"/>
      </w:divBdr>
      <w:divsChild>
        <w:div w:id="478035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244681">
      <w:bodyDiv w:val="1"/>
      <w:marLeft w:val="0"/>
      <w:marRight w:val="0"/>
      <w:marTop w:val="0"/>
      <w:marBottom w:val="0"/>
      <w:divBdr>
        <w:top w:val="none" w:sz="0" w:space="0" w:color="auto"/>
        <w:left w:val="none" w:sz="0" w:space="0" w:color="auto"/>
        <w:bottom w:val="none" w:sz="0" w:space="0" w:color="auto"/>
        <w:right w:val="none" w:sz="0" w:space="0" w:color="auto"/>
      </w:divBdr>
      <w:divsChild>
        <w:div w:id="15036529">
          <w:marLeft w:val="0"/>
          <w:marRight w:val="0"/>
          <w:marTop w:val="0"/>
          <w:marBottom w:val="0"/>
          <w:divBdr>
            <w:top w:val="none" w:sz="0" w:space="0" w:color="auto"/>
            <w:left w:val="none" w:sz="0" w:space="0" w:color="auto"/>
            <w:bottom w:val="none" w:sz="0" w:space="0" w:color="auto"/>
            <w:right w:val="none" w:sz="0" w:space="0" w:color="auto"/>
          </w:divBdr>
          <w:divsChild>
            <w:div w:id="643315339">
              <w:marLeft w:val="0"/>
              <w:marRight w:val="0"/>
              <w:marTop w:val="0"/>
              <w:marBottom w:val="0"/>
              <w:divBdr>
                <w:top w:val="none" w:sz="0" w:space="0" w:color="auto"/>
                <w:left w:val="none" w:sz="0" w:space="0" w:color="auto"/>
                <w:bottom w:val="none" w:sz="0" w:space="0" w:color="auto"/>
                <w:right w:val="none" w:sz="0" w:space="0" w:color="auto"/>
              </w:divBdr>
              <w:divsChild>
                <w:div w:id="431979036">
                  <w:marLeft w:val="150"/>
                  <w:marRight w:val="150"/>
                  <w:marTop w:val="0"/>
                  <w:marBottom w:val="0"/>
                  <w:divBdr>
                    <w:top w:val="single" w:sz="6" w:space="0" w:color="C1C1C1"/>
                    <w:left w:val="single" w:sz="6" w:space="15" w:color="C1C1C1"/>
                    <w:bottom w:val="single" w:sz="6" w:space="15" w:color="C1C1C1"/>
                    <w:right w:val="single" w:sz="6" w:space="15" w:color="C1C1C1"/>
                  </w:divBdr>
                </w:div>
              </w:divsChild>
            </w:div>
          </w:divsChild>
        </w:div>
      </w:divsChild>
    </w:div>
    <w:div w:id="1361393783">
      <w:bodyDiv w:val="1"/>
      <w:marLeft w:val="0"/>
      <w:marRight w:val="0"/>
      <w:marTop w:val="0"/>
      <w:marBottom w:val="0"/>
      <w:divBdr>
        <w:top w:val="none" w:sz="0" w:space="0" w:color="auto"/>
        <w:left w:val="none" w:sz="0" w:space="0" w:color="auto"/>
        <w:bottom w:val="none" w:sz="0" w:space="0" w:color="auto"/>
        <w:right w:val="none" w:sz="0" w:space="0" w:color="auto"/>
      </w:divBdr>
    </w:div>
    <w:div w:id="1409498106">
      <w:bodyDiv w:val="1"/>
      <w:marLeft w:val="0"/>
      <w:marRight w:val="0"/>
      <w:marTop w:val="0"/>
      <w:marBottom w:val="0"/>
      <w:divBdr>
        <w:top w:val="none" w:sz="0" w:space="0" w:color="auto"/>
        <w:left w:val="none" w:sz="0" w:space="0" w:color="auto"/>
        <w:bottom w:val="none" w:sz="0" w:space="0" w:color="auto"/>
        <w:right w:val="none" w:sz="0" w:space="0" w:color="auto"/>
      </w:divBdr>
      <w:divsChild>
        <w:div w:id="1190488600">
          <w:marLeft w:val="0"/>
          <w:marRight w:val="0"/>
          <w:marTop w:val="0"/>
          <w:marBottom w:val="0"/>
          <w:divBdr>
            <w:top w:val="none" w:sz="0" w:space="0" w:color="auto"/>
            <w:left w:val="none" w:sz="0" w:space="0" w:color="auto"/>
            <w:bottom w:val="none" w:sz="0" w:space="0" w:color="auto"/>
            <w:right w:val="none" w:sz="0" w:space="0" w:color="auto"/>
          </w:divBdr>
          <w:divsChild>
            <w:div w:id="434599336">
              <w:marLeft w:val="0"/>
              <w:marRight w:val="0"/>
              <w:marTop w:val="0"/>
              <w:marBottom w:val="0"/>
              <w:divBdr>
                <w:top w:val="none" w:sz="0" w:space="0" w:color="auto"/>
                <w:left w:val="none" w:sz="0" w:space="0" w:color="auto"/>
                <w:bottom w:val="none" w:sz="0" w:space="0" w:color="auto"/>
                <w:right w:val="none" w:sz="0" w:space="0" w:color="auto"/>
              </w:divBdr>
              <w:divsChild>
                <w:div w:id="1715498583">
                  <w:marLeft w:val="0"/>
                  <w:marRight w:val="0"/>
                  <w:marTop w:val="0"/>
                  <w:marBottom w:val="0"/>
                  <w:divBdr>
                    <w:top w:val="none" w:sz="0" w:space="0" w:color="auto"/>
                    <w:left w:val="none" w:sz="0" w:space="0" w:color="auto"/>
                    <w:bottom w:val="none" w:sz="0" w:space="0" w:color="auto"/>
                    <w:right w:val="none" w:sz="0" w:space="0" w:color="auto"/>
                  </w:divBdr>
                  <w:divsChild>
                    <w:div w:id="43912395">
                      <w:marLeft w:val="0"/>
                      <w:marRight w:val="0"/>
                      <w:marTop w:val="0"/>
                      <w:marBottom w:val="0"/>
                      <w:divBdr>
                        <w:top w:val="none" w:sz="0" w:space="0" w:color="auto"/>
                        <w:left w:val="none" w:sz="0" w:space="0" w:color="auto"/>
                        <w:bottom w:val="none" w:sz="0" w:space="0" w:color="auto"/>
                        <w:right w:val="none" w:sz="0" w:space="0" w:color="auto"/>
                      </w:divBdr>
                      <w:divsChild>
                        <w:div w:id="919994381">
                          <w:marLeft w:val="0"/>
                          <w:marRight w:val="0"/>
                          <w:marTop w:val="0"/>
                          <w:marBottom w:val="0"/>
                          <w:divBdr>
                            <w:top w:val="none" w:sz="0" w:space="0" w:color="auto"/>
                            <w:left w:val="none" w:sz="0" w:space="0" w:color="auto"/>
                            <w:bottom w:val="none" w:sz="0" w:space="0" w:color="auto"/>
                            <w:right w:val="none" w:sz="0" w:space="0" w:color="auto"/>
                          </w:divBdr>
                          <w:divsChild>
                            <w:div w:id="5248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75330">
      <w:bodyDiv w:val="1"/>
      <w:marLeft w:val="0"/>
      <w:marRight w:val="0"/>
      <w:marTop w:val="0"/>
      <w:marBottom w:val="0"/>
      <w:divBdr>
        <w:top w:val="none" w:sz="0" w:space="0" w:color="auto"/>
        <w:left w:val="none" w:sz="0" w:space="0" w:color="auto"/>
        <w:bottom w:val="none" w:sz="0" w:space="0" w:color="auto"/>
        <w:right w:val="none" w:sz="0" w:space="0" w:color="auto"/>
      </w:divBdr>
      <w:divsChild>
        <w:div w:id="4526968">
          <w:marLeft w:val="0"/>
          <w:marRight w:val="0"/>
          <w:marTop w:val="0"/>
          <w:marBottom w:val="0"/>
          <w:divBdr>
            <w:top w:val="none" w:sz="0" w:space="0" w:color="auto"/>
            <w:left w:val="none" w:sz="0" w:space="0" w:color="auto"/>
            <w:bottom w:val="none" w:sz="0" w:space="0" w:color="auto"/>
            <w:right w:val="none" w:sz="0" w:space="0" w:color="auto"/>
          </w:divBdr>
          <w:divsChild>
            <w:div w:id="198199735">
              <w:marLeft w:val="0"/>
              <w:marRight w:val="0"/>
              <w:marTop w:val="0"/>
              <w:marBottom w:val="0"/>
              <w:divBdr>
                <w:top w:val="none" w:sz="0" w:space="0" w:color="auto"/>
                <w:left w:val="none" w:sz="0" w:space="0" w:color="auto"/>
                <w:bottom w:val="none" w:sz="0" w:space="0" w:color="auto"/>
                <w:right w:val="none" w:sz="0" w:space="0" w:color="auto"/>
              </w:divBdr>
              <w:divsChild>
                <w:div w:id="11277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761">
      <w:bodyDiv w:val="1"/>
      <w:marLeft w:val="0"/>
      <w:marRight w:val="0"/>
      <w:marTop w:val="0"/>
      <w:marBottom w:val="0"/>
      <w:divBdr>
        <w:top w:val="none" w:sz="0" w:space="0" w:color="auto"/>
        <w:left w:val="none" w:sz="0" w:space="0" w:color="auto"/>
        <w:bottom w:val="none" w:sz="0" w:space="0" w:color="auto"/>
        <w:right w:val="none" w:sz="0" w:space="0" w:color="auto"/>
      </w:divBdr>
      <w:divsChild>
        <w:div w:id="1859657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mailto:researchsafety@kaust.edu.s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researchsafety@kaust.edu.sa"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s://hse.kaust.edu.sa/Services/Pages/LabSafetyManual/Introduction.asp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FE7F8F0F52AD41966A47DB7CEA8286" ma:contentTypeVersion="1" ma:contentTypeDescription="Create a new document." ma:contentTypeScope="" ma:versionID="044af158a3bfdb50268522a935f26e8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2524-7330-4810-9AEF-A973AD2616B0}">
  <ds:schemaRefs>
    <ds:schemaRef ds:uri="http://schemas.microsoft.com/sharepoint/v3/contenttype/forms"/>
  </ds:schemaRefs>
</ds:datastoreItem>
</file>

<file path=customXml/itemProps2.xml><?xml version="1.0" encoding="utf-8"?>
<ds:datastoreItem xmlns:ds="http://schemas.openxmlformats.org/officeDocument/2006/customXml" ds:itemID="{8096EDC5-094A-40AF-B094-7B7724BA3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86B68E-CCCB-4B65-A0FB-846DF171152B}">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702797AC-9A6F-42B3-9524-4EFBCB89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1340</Words>
  <Characters>7640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E1-Guidelines for Working with Electrical Equipment.docx</vt:lpstr>
    </vt:vector>
  </TitlesOfParts>
  <Company>Microsoft</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E1-Guidelines for Working with Electrical Equipment.docx</dc:title>
  <dc:creator>hutterpf</dc:creator>
  <cp:lastModifiedBy>Sadaf Qureshi</cp:lastModifiedBy>
  <cp:revision>2</cp:revision>
  <cp:lastPrinted>2010-09-19T06:50:00Z</cp:lastPrinted>
  <dcterms:created xsi:type="dcterms:W3CDTF">2021-07-05T08:50:00Z</dcterms:created>
  <dcterms:modified xsi:type="dcterms:W3CDTF">2021-07-05T08:50:00Z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0x01010071FE7F8F0F52AD41966A47DB7CEA8286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ServiceTitle">
    <vt:lpwstr/>
  </property>
  <property fmtid="{D5CDD505-2E9C-101B-9397-08002B2CF9AE}" pid="9" name="PublishingPageContent">
    <vt:lpwstr/>
  </property>
  <property fmtid="{D5CDD505-2E9C-101B-9397-08002B2CF9AE}" pid="10" name="Order">
    <vt:r8>34100</vt:r8>
  </property>
  <property fmtid="{D5CDD505-2E9C-101B-9397-08002B2CF9AE}" pid="11" name="ServiceShortDesc">
    <vt:lpwstr/>
  </property>
  <property fmtid="{D5CDD505-2E9C-101B-9397-08002B2CF9AE}" pid="12" name="PublishingPageImage">
    <vt:lpwstr/>
  </property>
  <property fmtid="{D5CDD505-2E9C-101B-9397-08002B2CF9AE}" pid="13" name="ExternalLink">
    <vt:lpwstr/>
  </property>
</Properties>
</file>